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firstLine="0" w:firstLineChars="0"/>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adjustRightInd w:val="0"/>
        <w:snapToGrid w:val="0"/>
        <w:spacing w:line="560" w:lineRule="exact"/>
        <w:ind w:firstLine="900" w:firstLineChars="0"/>
        <w:jc w:val="center"/>
        <w:rPr>
          <w:rFonts w:ascii="华文中宋" w:hAnsi="华文中宋" w:eastAsia="华文中宋"/>
          <w:b/>
          <w:sz w:val="44"/>
          <w:szCs w:val="44"/>
        </w:rPr>
      </w:pPr>
      <w:r>
        <w:rPr>
          <w:rFonts w:hint="eastAsia" w:ascii="华文中宋" w:hAnsi="华文中宋" w:eastAsia="华文中宋"/>
          <w:b/>
          <w:sz w:val="44"/>
          <w:szCs w:val="44"/>
        </w:rPr>
        <w:t>粉尘涉爆企业执法检查表</w:t>
      </w:r>
    </w:p>
    <w:p>
      <w:pPr>
        <w:spacing w:line="560" w:lineRule="exact"/>
        <w:ind w:firstLine="0" w:firstLineChars="0"/>
        <w:rPr>
          <w:rFonts w:ascii="仿宋_GB2312" w:eastAsia="仿宋_GB2312"/>
          <w:sz w:val="28"/>
          <w:szCs w:val="28"/>
          <w:u w:val="single"/>
        </w:rPr>
      </w:pPr>
      <w:r>
        <w:rPr>
          <w:rFonts w:hint="eastAsia" w:ascii="仿宋_GB2312" w:eastAsia="仿宋_GB2312"/>
          <w:sz w:val="28"/>
          <w:szCs w:val="28"/>
        </w:rPr>
        <w:t>企业名称（地址）：</w:t>
      </w:r>
      <w:r>
        <w:rPr>
          <w:rFonts w:hint="eastAsia" w:ascii="仿宋_GB2312" w:eastAsia="仿宋_GB2312"/>
          <w:sz w:val="28"/>
          <w:szCs w:val="28"/>
          <w:u w:val="single"/>
        </w:rPr>
        <w:t xml:space="preserve">                </w:t>
      </w:r>
      <w:r>
        <w:rPr>
          <w:rFonts w:hint="eastAsia" w:ascii="仿宋_GB2312" w:eastAsia="仿宋_GB2312"/>
          <w:sz w:val="28"/>
          <w:szCs w:val="28"/>
        </w:rPr>
        <w:t xml:space="preserve"> 检查单位：</w:t>
      </w:r>
      <w:r>
        <w:rPr>
          <w:rFonts w:hint="eastAsia" w:ascii="仿宋_GB2312" w:eastAsia="仿宋_GB2312"/>
          <w:sz w:val="28"/>
          <w:szCs w:val="28"/>
          <w:u w:val="single"/>
        </w:rPr>
        <w:t xml:space="preserve">             </w:t>
      </w:r>
      <w:r>
        <w:rPr>
          <w:rFonts w:hint="eastAsia" w:ascii="仿宋_GB2312" w:eastAsia="仿宋_GB2312"/>
          <w:sz w:val="28"/>
          <w:szCs w:val="28"/>
        </w:rPr>
        <w:t xml:space="preserve"> 检查人员：</w:t>
      </w:r>
      <w:r>
        <w:rPr>
          <w:rFonts w:hint="eastAsia" w:ascii="仿宋_GB2312" w:eastAsia="仿宋_GB2312"/>
          <w:sz w:val="28"/>
          <w:szCs w:val="28"/>
          <w:u w:val="single"/>
        </w:rPr>
        <w:t xml:space="preserve">          </w:t>
      </w:r>
      <w:r>
        <w:rPr>
          <w:rFonts w:hint="eastAsia" w:ascii="仿宋_GB2312" w:eastAsia="仿宋_GB2312"/>
          <w:sz w:val="28"/>
          <w:szCs w:val="28"/>
        </w:rPr>
        <w:t xml:space="preserve"> 检查日期：</w:t>
      </w:r>
      <w:r>
        <w:rPr>
          <w:rFonts w:hint="eastAsia" w:ascii="仿宋_GB2312" w:eastAsia="仿宋_GB2312"/>
          <w:sz w:val="28"/>
          <w:szCs w:val="28"/>
          <w:u w:val="single"/>
        </w:rPr>
        <w:t xml:space="preserve">          </w:t>
      </w:r>
    </w:p>
    <w:tbl>
      <w:tblPr>
        <w:tblStyle w:val="5"/>
        <w:tblW w:w="13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2"/>
        <w:gridCol w:w="8142"/>
        <w:gridCol w:w="241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trPr>
        <w:tc>
          <w:tcPr>
            <w:tcW w:w="1242" w:type="dxa"/>
          </w:tcPr>
          <w:p>
            <w:pPr>
              <w:spacing w:line="560" w:lineRule="exact"/>
              <w:ind w:firstLine="0" w:firstLineChars="0"/>
              <w:jc w:val="center"/>
              <w:rPr>
                <w:rFonts w:ascii="黑体" w:hAnsi="黑体" w:eastAsia="黑体"/>
                <w:sz w:val="24"/>
                <w:szCs w:val="24"/>
              </w:rPr>
            </w:pPr>
            <w:r>
              <w:rPr>
                <w:rFonts w:hint="eastAsia" w:ascii="黑体" w:hAnsi="黑体" w:eastAsia="黑体"/>
                <w:sz w:val="24"/>
                <w:szCs w:val="24"/>
              </w:rPr>
              <w:t>检查类别</w:t>
            </w:r>
          </w:p>
        </w:tc>
        <w:tc>
          <w:tcPr>
            <w:tcW w:w="8142" w:type="dxa"/>
          </w:tcPr>
          <w:p>
            <w:pPr>
              <w:spacing w:line="560" w:lineRule="exact"/>
              <w:ind w:firstLine="602" w:firstLineChars="0"/>
              <w:jc w:val="center"/>
              <w:rPr>
                <w:rFonts w:ascii="黑体" w:hAnsi="黑体" w:eastAsia="黑体"/>
                <w:sz w:val="24"/>
                <w:szCs w:val="24"/>
              </w:rPr>
            </w:pPr>
            <w:r>
              <w:rPr>
                <w:rFonts w:hint="eastAsia" w:ascii="黑体" w:hAnsi="黑体" w:eastAsia="黑体"/>
                <w:sz w:val="24"/>
                <w:szCs w:val="24"/>
              </w:rPr>
              <w:t>检查项目</w:t>
            </w:r>
          </w:p>
        </w:tc>
        <w:tc>
          <w:tcPr>
            <w:tcW w:w="2410" w:type="dxa"/>
          </w:tcPr>
          <w:p>
            <w:pPr>
              <w:spacing w:line="560" w:lineRule="exact"/>
              <w:ind w:firstLine="0" w:firstLineChars="0"/>
              <w:jc w:val="center"/>
              <w:rPr>
                <w:rFonts w:ascii="黑体" w:hAnsi="黑体" w:eastAsia="黑体"/>
                <w:sz w:val="24"/>
                <w:szCs w:val="24"/>
              </w:rPr>
            </w:pPr>
            <w:r>
              <w:rPr>
                <w:rFonts w:hint="eastAsia" w:ascii="黑体" w:hAnsi="黑体" w:eastAsia="黑体"/>
                <w:sz w:val="24"/>
                <w:szCs w:val="24"/>
              </w:rPr>
              <w:t>执法依据</w:t>
            </w:r>
          </w:p>
        </w:tc>
        <w:tc>
          <w:tcPr>
            <w:tcW w:w="1998" w:type="dxa"/>
          </w:tcPr>
          <w:p>
            <w:pPr>
              <w:spacing w:line="560" w:lineRule="exact"/>
              <w:ind w:firstLine="0" w:firstLineChars="0"/>
              <w:jc w:val="center"/>
              <w:rPr>
                <w:rFonts w:ascii="黑体" w:hAnsi="黑体" w:eastAsia="黑体"/>
                <w:sz w:val="24"/>
                <w:szCs w:val="24"/>
              </w:rPr>
            </w:pPr>
            <w:r>
              <w:rPr>
                <w:rFonts w:hint="eastAsia" w:ascii="黑体" w:hAnsi="黑体" w:eastAsia="黑体"/>
                <w:sz w:val="24"/>
                <w:szCs w:val="24"/>
              </w:rPr>
              <w:t>执法结果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2" w:hRule="atLeast"/>
        </w:trPr>
        <w:tc>
          <w:tcPr>
            <w:tcW w:w="1242" w:type="dxa"/>
            <w:vAlign w:val="center"/>
          </w:tcPr>
          <w:p>
            <w:pPr>
              <w:widowControl/>
              <w:adjustRightInd w:val="0"/>
              <w:snapToGrid w:val="0"/>
              <w:spacing w:line="320" w:lineRule="exact"/>
              <w:ind w:firstLine="0" w:firstLineChars="0"/>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建构筑物</w:t>
            </w: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1.粉尘爆炸危险场所设置在非框架结构的多层建构筑物内或与</w:t>
            </w:r>
            <w:bookmarkStart w:id="0" w:name="_GoBack"/>
            <w:bookmarkEnd w:id="0"/>
            <w:r>
              <w:rPr>
                <w:rFonts w:hint="eastAsia" w:cs="宋体" w:asciiTheme="minorEastAsia" w:hAnsiTheme="minorEastAsia" w:eastAsiaTheme="minorEastAsia"/>
                <w:kern w:val="0"/>
                <w:sz w:val="24"/>
                <w:szCs w:val="24"/>
              </w:rPr>
              <w:t>居民区、员工宿舍、会议室等人员密集场所安全距离不足。</w:t>
            </w:r>
          </w:p>
        </w:tc>
        <w:tc>
          <w:tcPr>
            <w:tcW w:w="2410"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《安全生产法》第99条。</w:t>
            </w:r>
          </w:p>
        </w:tc>
        <w:tc>
          <w:tcPr>
            <w:tcW w:w="199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5" w:hRule="atLeast"/>
        </w:trPr>
        <w:tc>
          <w:tcPr>
            <w:tcW w:w="1242" w:type="dxa"/>
            <w:vMerge w:val="restart"/>
            <w:vAlign w:val="center"/>
          </w:tcPr>
          <w:p>
            <w:pPr>
              <w:spacing w:line="240" w:lineRule="auto"/>
              <w:ind w:firstLine="0" w:firstLineChars="0"/>
              <w:jc w:val="center"/>
              <w:rPr>
                <w:rFonts w:asciiTheme="minorEastAsia" w:hAnsiTheme="minorEastAsia" w:eastAsiaTheme="minorEastAsia"/>
                <w:b/>
                <w:sz w:val="24"/>
                <w:szCs w:val="24"/>
              </w:rPr>
            </w:pPr>
            <w:r>
              <w:rPr>
                <w:rFonts w:hint="eastAsia" w:cs="宋体" w:asciiTheme="minorEastAsia" w:hAnsiTheme="minorEastAsia" w:eastAsiaTheme="minorEastAsia"/>
                <w:b/>
                <w:kern w:val="0"/>
                <w:sz w:val="24"/>
                <w:szCs w:val="24"/>
              </w:rPr>
              <w:t>除尘系统</w:t>
            </w: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2.可燃性粉尘与可燃气体等易加剧爆炸危险的介质共用一套除尘系统，不同防火分区的除尘系统互联互通。</w:t>
            </w:r>
          </w:p>
        </w:tc>
        <w:tc>
          <w:tcPr>
            <w:tcW w:w="2410" w:type="dxa"/>
            <w:vMerge w:val="restart"/>
            <w:vAlign w:val="center"/>
          </w:tcPr>
          <w:p>
            <w:pPr>
              <w:widowControl/>
              <w:adjustRightInd w:val="0"/>
              <w:snapToGrid w:val="0"/>
              <w:spacing w:line="320" w:lineRule="exact"/>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《安全生产法》</w:t>
            </w:r>
          </w:p>
          <w:p>
            <w:pPr>
              <w:widowControl/>
              <w:adjustRightInd w:val="0"/>
              <w:snapToGrid w:val="0"/>
              <w:spacing w:line="320" w:lineRule="exact"/>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第96、99条。</w:t>
            </w:r>
          </w:p>
        </w:tc>
        <w:tc>
          <w:tcPr>
            <w:tcW w:w="199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7" w:hRule="atLeast"/>
        </w:trPr>
        <w:tc>
          <w:tcPr>
            <w:tcW w:w="1242" w:type="dxa"/>
            <w:vMerge w:val="continue"/>
          </w:tcPr>
          <w:p>
            <w:pPr>
              <w:spacing w:line="560" w:lineRule="exact"/>
              <w:ind w:firstLine="0" w:firstLineChars="0"/>
              <w:jc w:val="left"/>
              <w:rPr>
                <w:rFonts w:asciiTheme="minorEastAsia" w:hAnsiTheme="minorEastAsia" w:eastAsiaTheme="minorEastAsia"/>
                <w:b/>
                <w:sz w:val="24"/>
                <w:szCs w:val="24"/>
              </w:rPr>
            </w:pP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3.干式除尘系统未规范采用泄爆、隔爆、惰化、抑爆等任一种控爆措施。</w:t>
            </w:r>
          </w:p>
        </w:tc>
        <w:tc>
          <w:tcPr>
            <w:tcW w:w="2410" w:type="dxa"/>
            <w:vMerge w:val="continue"/>
            <w:vAlign w:val="center"/>
          </w:tcPr>
          <w:p>
            <w:pPr>
              <w:adjustRightInd w:val="0"/>
              <w:snapToGrid w:val="0"/>
              <w:spacing w:line="320" w:lineRule="exact"/>
              <w:ind w:firstLine="525"/>
              <w:rPr>
                <w:rFonts w:cs="宋体" w:asciiTheme="minorEastAsia" w:hAnsiTheme="minorEastAsia" w:eastAsiaTheme="minorEastAsia"/>
                <w:kern w:val="0"/>
                <w:szCs w:val="21"/>
              </w:rPr>
            </w:pPr>
          </w:p>
        </w:tc>
        <w:tc>
          <w:tcPr>
            <w:tcW w:w="199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0" w:hRule="atLeast"/>
        </w:trPr>
        <w:tc>
          <w:tcPr>
            <w:tcW w:w="1242" w:type="dxa"/>
            <w:vMerge w:val="continue"/>
          </w:tcPr>
          <w:p>
            <w:pPr>
              <w:spacing w:line="560" w:lineRule="exact"/>
              <w:ind w:firstLine="0" w:firstLineChars="0"/>
              <w:jc w:val="left"/>
              <w:rPr>
                <w:rFonts w:asciiTheme="minorEastAsia" w:hAnsiTheme="minorEastAsia" w:eastAsiaTheme="minorEastAsia"/>
                <w:b/>
                <w:sz w:val="24"/>
                <w:szCs w:val="24"/>
              </w:rPr>
            </w:pP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4.除尘系统采用正压吹送粉尘，且未采取可靠的防范点燃源的措施。</w:t>
            </w:r>
          </w:p>
        </w:tc>
        <w:tc>
          <w:tcPr>
            <w:tcW w:w="2410" w:type="dxa"/>
            <w:vMerge w:val="continue"/>
            <w:vAlign w:val="center"/>
          </w:tcPr>
          <w:p>
            <w:pPr>
              <w:adjustRightInd w:val="0"/>
              <w:snapToGrid w:val="0"/>
              <w:spacing w:line="320" w:lineRule="exact"/>
              <w:ind w:firstLine="525"/>
              <w:rPr>
                <w:rFonts w:cs="宋体" w:asciiTheme="minorEastAsia" w:hAnsiTheme="minorEastAsia" w:eastAsiaTheme="minorEastAsia"/>
                <w:kern w:val="0"/>
                <w:szCs w:val="21"/>
              </w:rPr>
            </w:pPr>
          </w:p>
        </w:tc>
        <w:tc>
          <w:tcPr>
            <w:tcW w:w="199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4" w:hRule="atLeast"/>
        </w:trPr>
        <w:tc>
          <w:tcPr>
            <w:tcW w:w="1242" w:type="dxa"/>
            <w:vMerge w:val="continue"/>
          </w:tcPr>
          <w:p>
            <w:pPr>
              <w:spacing w:line="560" w:lineRule="exact"/>
              <w:ind w:firstLine="0" w:firstLineChars="0"/>
              <w:jc w:val="left"/>
              <w:rPr>
                <w:rFonts w:asciiTheme="minorEastAsia" w:hAnsiTheme="minorEastAsia" w:eastAsiaTheme="minorEastAsia"/>
                <w:b/>
                <w:sz w:val="32"/>
                <w:szCs w:val="32"/>
              </w:rPr>
            </w:pP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5.除尘系统采用粉尘沉降室除尘，或者采用干式巷道式构筑物作为除尘风道。</w:t>
            </w:r>
          </w:p>
        </w:tc>
        <w:tc>
          <w:tcPr>
            <w:tcW w:w="2410" w:type="dxa"/>
            <w:vMerge w:val="continue"/>
            <w:vAlign w:val="center"/>
          </w:tcPr>
          <w:p>
            <w:pPr>
              <w:adjustRightInd w:val="0"/>
              <w:snapToGrid w:val="0"/>
              <w:spacing w:line="320" w:lineRule="exact"/>
              <w:ind w:firstLine="525"/>
              <w:rPr>
                <w:rFonts w:cs="宋体" w:asciiTheme="minorEastAsia" w:hAnsiTheme="minorEastAsia" w:eastAsiaTheme="minorEastAsia"/>
                <w:kern w:val="0"/>
                <w:szCs w:val="21"/>
              </w:rPr>
            </w:pPr>
          </w:p>
        </w:tc>
        <w:tc>
          <w:tcPr>
            <w:tcW w:w="199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trPr>
        <w:tc>
          <w:tcPr>
            <w:tcW w:w="1242" w:type="dxa"/>
            <w:vMerge w:val="continue"/>
          </w:tcPr>
          <w:p>
            <w:pPr>
              <w:spacing w:line="560" w:lineRule="exact"/>
              <w:ind w:firstLine="0" w:firstLineChars="0"/>
              <w:jc w:val="left"/>
              <w:rPr>
                <w:rFonts w:asciiTheme="minorEastAsia" w:hAnsiTheme="minorEastAsia" w:eastAsiaTheme="minorEastAsia"/>
                <w:b/>
                <w:sz w:val="32"/>
                <w:szCs w:val="32"/>
              </w:rPr>
            </w:pP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6.铝镁等金属粉尘及木质粉尘的干式除尘系统未规范设置锁气卸灰装置。</w:t>
            </w:r>
          </w:p>
        </w:tc>
        <w:tc>
          <w:tcPr>
            <w:tcW w:w="2410" w:type="dxa"/>
            <w:vMerge w:val="continue"/>
            <w:vAlign w:val="center"/>
          </w:tcPr>
          <w:p>
            <w:pPr>
              <w:adjustRightInd w:val="0"/>
              <w:snapToGrid w:val="0"/>
              <w:spacing w:line="320" w:lineRule="exact"/>
              <w:ind w:firstLine="525"/>
              <w:rPr>
                <w:rFonts w:cs="宋体" w:asciiTheme="minorEastAsia" w:hAnsiTheme="minorEastAsia" w:eastAsiaTheme="minorEastAsia"/>
                <w:kern w:val="0"/>
                <w:szCs w:val="21"/>
              </w:rPr>
            </w:pPr>
          </w:p>
        </w:tc>
        <w:tc>
          <w:tcPr>
            <w:tcW w:w="199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8" w:hRule="atLeast"/>
        </w:trPr>
        <w:tc>
          <w:tcPr>
            <w:tcW w:w="1242" w:type="dxa"/>
            <w:vMerge w:val="restart"/>
            <w:vAlign w:val="center"/>
          </w:tcPr>
          <w:p>
            <w:pPr>
              <w:spacing w:line="240" w:lineRule="auto"/>
              <w:ind w:firstLine="0" w:firstLineChars="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 w:val="24"/>
                <w:szCs w:val="24"/>
              </w:rPr>
              <w:t>防火措施</w:t>
            </w: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7.粉尘爆炸危险场所的20区未使用防爆电气设备设施。</w:t>
            </w:r>
          </w:p>
        </w:tc>
        <w:tc>
          <w:tcPr>
            <w:tcW w:w="2410" w:type="dxa"/>
            <w:vMerge w:val="continue"/>
            <w:vAlign w:val="center"/>
          </w:tcPr>
          <w:p>
            <w:pPr>
              <w:adjustRightInd w:val="0"/>
              <w:snapToGrid w:val="0"/>
              <w:spacing w:line="320" w:lineRule="exact"/>
              <w:ind w:firstLine="525"/>
              <w:rPr>
                <w:rFonts w:cs="宋体" w:asciiTheme="minorEastAsia" w:hAnsiTheme="minorEastAsia" w:eastAsiaTheme="minorEastAsia"/>
                <w:kern w:val="0"/>
                <w:szCs w:val="21"/>
              </w:rPr>
            </w:pPr>
          </w:p>
        </w:tc>
        <w:tc>
          <w:tcPr>
            <w:tcW w:w="199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0" w:hRule="atLeast"/>
        </w:trPr>
        <w:tc>
          <w:tcPr>
            <w:tcW w:w="1242" w:type="dxa"/>
            <w:vMerge w:val="continue"/>
          </w:tcPr>
          <w:p>
            <w:pPr>
              <w:spacing w:line="560" w:lineRule="exact"/>
              <w:ind w:firstLine="0" w:firstLineChars="0"/>
              <w:jc w:val="left"/>
              <w:rPr>
                <w:rFonts w:asciiTheme="minorEastAsia" w:hAnsiTheme="minorEastAsia" w:eastAsiaTheme="minorEastAsia"/>
                <w:b/>
                <w:sz w:val="32"/>
                <w:szCs w:val="32"/>
              </w:rPr>
            </w:pP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8.在粉碎、研磨、造粒等易于产生机械点火源的工艺设备前，未按规范设置去除铁、石等异物的装置。</w:t>
            </w:r>
          </w:p>
        </w:tc>
        <w:tc>
          <w:tcPr>
            <w:tcW w:w="2410" w:type="dxa"/>
            <w:vMerge w:val="continue"/>
            <w:vAlign w:val="center"/>
          </w:tcPr>
          <w:p>
            <w:pPr>
              <w:adjustRightInd w:val="0"/>
              <w:snapToGrid w:val="0"/>
              <w:spacing w:line="320" w:lineRule="exact"/>
              <w:ind w:firstLine="525"/>
              <w:rPr>
                <w:rFonts w:cs="宋体" w:asciiTheme="minorEastAsia" w:hAnsiTheme="minorEastAsia" w:eastAsiaTheme="minorEastAsia"/>
                <w:kern w:val="0"/>
                <w:szCs w:val="21"/>
              </w:rPr>
            </w:pPr>
          </w:p>
        </w:tc>
        <w:tc>
          <w:tcPr>
            <w:tcW w:w="199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trPr>
        <w:tc>
          <w:tcPr>
            <w:tcW w:w="1242" w:type="dxa"/>
            <w:vMerge w:val="continue"/>
          </w:tcPr>
          <w:p>
            <w:pPr>
              <w:spacing w:line="560" w:lineRule="exact"/>
              <w:ind w:firstLine="0" w:firstLineChars="0"/>
              <w:jc w:val="left"/>
              <w:rPr>
                <w:rFonts w:asciiTheme="minorEastAsia" w:hAnsiTheme="minorEastAsia" w:eastAsiaTheme="minorEastAsia"/>
                <w:b/>
                <w:sz w:val="32"/>
                <w:szCs w:val="32"/>
              </w:rPr>
            </w:pP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9.木制品加工企业，与砂光机连接的风管未规范设置火花探测报警装置。</w:t>
            </w:r>
          </w:p>
        </w:tc>
        <w:tc>
          <w:tcPr>
            <w:tcW w:w="2410" w:type="dxa"/>
            <w:vMerge w:val="continue"/>
            <w:vAlign w:val="center"/>
          </w:tcPr>
          <w:p>
            <w:pPr>
              <w:widowControl/>
              <w:adjustRightInd w:val="0"/>
              <w:snapToGrid w:val="0"/>
              <w:spacing w:line="320" w:lineRule="exact"/>
              <w:ind w:firstLine="0" w:firstLineChars="0"/>
              <w:rPr>
                <w:rFonts w:cs="宋体" w:asciiTheme="minorEastAsia" w:hAnsiTheme="minorEastAsia" w:eastAsiaTheme="minorEastAsia"/>
                <w:kern w:val="0"/>
                <w:szCs w:val="21"/>
              </w:rPr>
            </w:pPr>
          </w:p>
        </w:tc>
        <w:tc>
          <w:tcPr>
            <w:tcW w:w="199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0" w:hRule="atLeast"/>
        </w:trPr>
        <w:tc>
          <w:tcPr>
            <w:tcW w:w="1242" w:type="dxa"/>
            <w:vAlign w:val="center"/>
          </w:tcPr>
          <w:p>
            <w:pPr>
              <w:widowControl/>
              <w:adjustRightInd w:val="0"/>
              <w:snapToGrid w:val="0"/>
              <w:spacing w:line="320" w:lineRule="exact"/>
              <w:ind w:firstLine="0" w:firstLineChars="0"/>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粉尘清扫</w:t>
            </w:r>
          </w:p>
        </w:tc>
        <w:tc>
          <w:tcPr>
            <w:tcW w:w="8142"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10.未制定粉尘清扫制度，作业现场积尘未及时规范清理。</w:t>
            </w:r>
          </w:p>
        </w:tc>
        <w:tc>
          <w:tcPr>
            <w:tcW w:w="2410"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《安全生产法》第99条。</w:t>
            </w:r>
          </w:p>
        </w:tc>
        <w:tc>
          <w:tcPr>
            <w:tcW w:w="1998" w:type="dxa"/>
          </w:tcPr>
          <w:p>
            <w:pPr>
              <w:spacing w:line="560" w:lineRule="exact"/>
              <w:ind w:firstLine="0" w:firstLineChars="0"/>
              <w:jc w:val="left"/>
              <w:rPr>
                <w:rFonts w:ascii="仿宋_GB2312" w:eastAsia="仿宋_GB2312"/>
                <w:sz w:val="32"/>
                <w:szCs w:val="32"/>
              </w:rPr>
            </w:pPr>
          </w:p>
        </w:tc>
      </w:tr>
    </w:tbl>
    <w:p>
      <w:pPr>
        <w:adjustRightInd w:val="0"/>
        <w:snapToGrid w:val="0"/>
        <w:spacing w:line="200" w:lineRule="exact"/>
        <w:ind w:firstLine="0" w:firstLineChars="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74" w:right="1588" w:bottom="1701"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39458"/>
      <w:docPartObj>
        <w:docPartGallery w:val="autotext"/>
      </w:docPartObj>
    </w:sdtPr>
    <w:sdtContent>
      <w:p>
        <w:pPr>
          <w:pStyle w:val="3"/>
          <w:ind w:firstLine="45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firstLine="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384"/>
      <w:docPartObj>
        <w:docPartGallery w:val="autotext"/>
      </w:docPartObj>
    </w:sdtPr>
    <w:sdtContent>
      <w:p>
        <w:pPr>
          <w:pStyle w:val="3"/>
          <w:ind w:firstLine="45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firstLine="4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4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4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3A"/>
    <w:rsid w:val="000128C7"/>
    <w:rsid w:val="0001293C"/>
    <w:rsid w:val="00015AD4"/>
    <w:rsid w:val="000312CC"/>
    <w:rsid w:val="00047396"/>
    <w:rsid w:val="0008107B"/>
    <w:rsid w:val="000A09C5"/>
    <w:rsid w:val="00134315"/>
    <w:rsid w:val="00136397"/>
    <w:rsid w:val="00177E8E"/>
    <w:rsid w:val="00182451"/>
    <w:rsid w:val="001B404F"/>
    <w:rsid w:val="001D27CC"/>
    <w:rsid w:val="002119D9"/>
    <w:rsid w:val="00273EAF"/>
    <w:rsid w:val="00290746"/>
    <w:rsid w:val="002A2D31"/>
    <w:rsid w:val="002C4A46"/>
    <w:rsid w:val="002F163F"/>
    <w:rsid w:val="0032000C"/>
    <w:rsid w:val="00334999"/>
    <w:rsid w:val="00375CA7"/>
    <w:rsid w:val="003834F8"/>
    <w:rsid w:val="003C2098"/>
    <w:rsid w:val="003D14DA"/>
    <w:rsid w:val="003F78F5"/>
    <w:rsid w:val="00452394"/>
    <w:rsid w:val="00464A84"/>
    <w:rsid w:val="00477A84"/>
    <w:rsid w:val="0048663F"/>
    <w:rsid w:val="004E1772"/>
    <w:rsid w:val="00501546"/>
    <w:rsid w:val="00554DCE"/>
    <w:rsid w:val="005608AB"/>
    <w:rsid w:val="005612C5"/>
    <w:rsid w:val="005728E6"/>
    <w:rsid w:val="00576551"/>
    <w:rsid w:val="00576938"/>
    <w:rsid w:val="005A0396"/>
    <w:rsid w:val="005B1FD2"/>
    <w:rsid w:val="00643FE3"/>
    <w:rsid w:val="00650A00"/>
    <w:rsid w:val="006D23A2"/>
    <w:rsid w:val="006E320F"/>
    <w:rsid w:val="006F3B22"/>
    <w:rsid w:val="0073703B"/>
    <w:rsid w:val="007520DC"/>
    <w:rsid w:val="00782B0B"/>
    <w:rsid w:val="007A2019"/>
    <w:rsid w:val="007A680F"/>
    <w:rsid w:val="007D0983"/>
    <w:rsid w:val="007F35D2"/>
    <w:rsid w:val="008006A0"/>
    <w:rsid w:val="00871096"/>
    <w:rsid w:val="00872066"/>
    <w:rsid w:val="00887832"/>
    <w:rsid w:val="008A5B95"/>
    <w:rsid w:val="008F2CE8"/>
    <w:rsid w:val="00934BF4"/>
    <w:rsid w:val="00953FF1"/>
    <w:rsid w:val="0098372E"/>
    <w:rsid w:val="00984084"/>
    <w:rsid w:val="009953A7"/>
    <w:rsid w:val="009958F4"/>
    <w:rsid w:val="009C2437"/>
    <w:rsid w:val="00A00F51"/>
    <w:rsid w:val="00A42A03"/>
    <w:rsid w:val="00A64E97"/>
    <w:rsid w:val="00A81007"/>
    <w:rsid w:val="00A9150E"/>
    <w:rsid w:val="00AD594A"/>
    <w:rsid w:val="00B32FA6"/>
    <w:rsid w:val="00B368E8"/>
    <w:rsid w:val="00B648A6"/>
    <w:rsid w:val="00BD3739"/>
    <w:rsid w:val="00BF533A"/>
    <w:rsid w:val="00C3110A"/>
    <w:rsid w:val="00C614B1"/>
    <w:rsid w:val="00C84E6A"/>
    <w:rsid w:val="00CC7461"/>
    <w:rsid w:val="00CD60F2"/>
    <w:rsid w:val="00CF3C37"/>
    <w:rsid w:val="00D33D85"/>
    <w:rsid w:val="00D90E39"/>
    <w:rsid w:val="00D93E95"/>
    <w:rsid w:val="00DA5BEE"/>
    <w:rsid w:val="00DE5DE9"/>
    <w:rsid w:val="00DF5267"/>
    <w:rsid w:val="00E501ED"/>
    <w:rsid w:val="00EC14B4"/>
    <w:rsid w:val="00EC48BC"/>
    <w:rsid w:val="00ED599C"/>
    <w:rsid w:val="00F95172"/>
    <w:rsid w:val="00F97604"/>
    <w:rsid w:val="00FC4BCA"/>
    <w:rsid w:val="00FE462F"/>
    <w:rsid w:val="4A923598"/>
    <w:rsid w:val="5F29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50" w:firstLineChars="25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AA996-3367-48FD-932A-0B0890D370C6}">
  <ds:schemaRefs/>
</ds:datastoreItem>
</file>

<file path=docProps/app.xml><?xml version="1.0" encoding="utf-8"?>
<Properties xmlns="http://schemas.openxmlformats.org/officeDocument/2006/extended-properties" xmlns:vt="http://schemas.openxmlformats.org/officeDocument/2006/docPropsVTypes">
  <Template>Normal</Template>
  <Pages>1</Pages>
  <Words>87</Words>
  <Characters>500</Characters>
  <Lines>4</Lines>
  <Paragraphs>1</Paragraphs>
  <TotalTime>10</TotalTime>
  <ScaleCrop>false</ScaleCrop>
  <LinksUpToDate>false</LinksUpToDate>
  <CharactersWithSpaces>586</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2018-03-05T08:09:00Z</dcterms:created>
  <dc:creator>侠ڏ⿀ࣃ쾈ۘ飀ݏਛ聀࣌ቨځਛ䦘ڏፈځ냠ٵ므ऐ</dc:creator>
  <cp:lastModifiedBy>王旭亮</cp:lastModifiedBy>
  <cp:lastPrinted>2019-03-07T07:20:49Z</cp:lastPrinted>
  <dcterms:modified xsi:type="dcterms:W3CDTF">2019-03-07T07:23:07Z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