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00" w:lineRule="exact"/>
        <w:ind w:firstLine="0" w:firstLineChars="0"/>
        <w:jc w:val="lef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5</w:t>
      </w:r>
    </w:p>
    <w:p>
      <w:pPr>
        <w:adjustRightInd w:val="0"/>
        <w:snapToGrid w:val="0"/>
        <w:spacing w:line="560" w:lineRule="exact"/>
        <w:ind w:firstLine="900" w:firstLineChars="0"/>
        <w:jc w:val="center"/>
        <w:rPr>
          <w:rFonts w:ascii="华文中宋" w:hAnsi="华文中宋" w:eastAsia="华文中宋"/>
          <w:b/>
          <w:sz w:val="44"/>
          <w:szCs w:val="44"/>
        </w:rPr>
      </w:pPr>
      <w:r>
        <w:rPr>
          <w:rFonts w:hint="eastAsia" w:ascii="华文中宋" w:hAnsi="华文中宋" w:eastAsia="华文中宋"/>
          <w:b/>
          <w:sz w:val="44"/>
          <w:szCs w:val="44"/>
        </w:rPr>
        <w:t>市际交互核验检查表</w:t>
      </w:r>
    </w:p>
    <w:p>
      <w:pPr>
        <w:spacing w:line="560" w:lineRule="exact"/>
        <w:ind w:firstLine="0" w:firstLineChars="0"/>
        <w:rPr>
          <w:rFonts w:ascii="仿宋_GB2312" w:eastAsia="仿宋_GB2312"/>
          <w:sz w:val="28"/>
          <w:szCs w:val="28"/>
          <w:u w:val="single"/>
        </w:rPr>
      </w:pPr>
      <w:r>
        <w:rPr>
          <w:rFonts w:hint="eastAsia" w:ascii="仿宋_GB2312" w:eastAsia="仿宋_GB2312"/>
          <w:sz w:val="28"/>
          <w:szCs w:val="28"/>
        </w:rPr>
        <w:t>企业名称（地址）：</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lang w:eastAsia="zh-CN"/>
        </w:rPr>
        <w:t>核验</w:t>
      </w:r>
      <w:r>
        <w:rPr>
          <w:rFonts w:hint="eastAsia" w:ascii="仿宋_GB2312" w:eastAsia="仿宋_GB2312"/>
          <w:sz w:val="28"/>
          <w:szCs w:val="28"/>
        </w:rPr>
        <w:t>单位：</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lang w:eastAsia="zh-CN"/>
        </w:rPr>
        <w:t>核验</w:t>
      </w:r>
      <w:r>
        <w:rPr>
          <w:rFonts w:hint="eastAsia" w:ascii="仿宋_GB2312" w:eastAsia="仿宋_GB2312"/>
          <w:sz w:val="28"/>
          <w:szCs w:val="28"/>
        </w:rPr>
        <w:t>人员：</w:t>
      </w:r>
      <w:r>
        <w:rPr>
          <w:rFonts w:hint="eastAsia" w:ascii="仿宋_GB2312" w:eastAsia="仿宋_GB2312"/>
          <w:sz w:val="28"/>
          <w:szCs w:val="28"/>
          <w:u w:val="single"/>
        </w:rPr>
        <w:t xml:space="preserve">          </w:t>
      </w:r>
      <w:r>
        <w:rPr>
          <w:rFonts w:hint="eastAsia" w:ascii="仿宋_GB2312" w:eastAsia="仿宋_GB2312"/>
          <w:sz w:val="28"/>
          <w:szCs w:val="28"/>
        </w:rPr>
        <w:t xml:space="preserve"> </w:t>
      </w:r>
      <w:r>
        <w:rPr>
          <w:rFonts w:hint="eastAsia" w:ascii="仿宋_GB2312" w:eastAsia="仿宋_GB2312"/>
          <w:sz w:val="28"/>
          <w:szCs w:val="28"/>
          <w:lang w:eastAsia="zh-CN"/>
        </w:rPr>
        <w:t>核验</w:t>
      </w:r>
      <w:bookmarkStart w:id="0" w:name="_GoBack"/>
      <w:bookmarkEnd w:id="0"/>
      <w:r>
        <w:rPr>
          <w:rFonts w:hint="eastAsia" w:ascii="仿宋_GB2312" w:eastAsia="仿宋_GB2312"/>
          <w:sz w:val="28"/>
          <w:szCs w:val="28"/>
        </w:rPr>
        <w:t>日期：</w:t>
      </w:r>
      <w:r>
        <w:rPr>
          <w:rFonts w:hint="eastAsia" w:ascii="仿宋_GB2312" w:eastAsia="仿宋_GB2312"/>
          <w:sz w:val="28"/>
          <w:szCs w:val="28"/>
          <w:u w:val="single"/>
        </w:rPr>
        <w:t xml:space="preserve">          </w:t>
      </w:r>
    </w:p>
    <w:tbl>
      <w:tblPr>
        <w:tblStyle w:val="5"/>
        <w:tblW w:w="137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97"/>
        <w:gridCol w:w="9813"/>
        <w:gridCol w:w="2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trPr>
        <w:tc>
          <w:tcPr>
            <w:tcW w:w="1497" w:type="dxa"/>
          </w:tcPr>
          <w:p>
            <w:pPr>
              <w:spacing w:line="560" w:lineRule="exact"/>
              <w:ind w:firstLine="0" w:firstLineChars="0"/>
              <w:jc w:val="center"/>
              <w:rPr>
                <w:rFonts w:ascii="黑体" w:hAnsi="黑体" w:eastAsia="黑体"/>
                <w:sz w:val="24"/>
                <w:szCs w:val="24"/>
              </w:rPr>
            </w:pPr>
            <w:r>
              <w:rPr>
                <w:rFonts w:hint="eastAsia" w:ascii="黑体" w:hAnsi="黑体" w:eastAsia="黑体"/>
                <w:sz w:val="24"/>
                <w:szCs w:val="24"/>
              </w:rPr>
              <w:t>检查类别</w:t>
            </w:r>
          </w:p>
        </w:tc>
        <w:tc>
          <w:tcPr>
            <w:tcW w:w="9813" w:type="dxa"/>
          </w:tcPr>
          <w:p>
            <w:pPr>
              <w:spacing w:line="560" w:lineRule="exact"/>
              <w:ind w:firstLine="602" w:firstLineChars="0"/>
              <w:jc w:val="center"/>
              <w:rPr>
                <w:rFonts w:ascii="黑体" w:hAnsi="黑体" w:eastAsia="黑体"/>
                <w:sz w:val="24"/>
                <w:szCs w:val="24"/>
              </w:rPr>
            </w:pPr>
            <w:r>
              <w:rPr>
                <w:rFonts w:hint="eastAsia" w:ascii="黑体" w:hAnsi="黑体" w:eastAsia="黑体"/>
                <w:sz w:val="24"/>
                <w:szCs w:val="24"/>
              </w:rPr>
              <w:t>检查项目</w:t>
            </w:r>
          </w:p>
        </w:tc>
        <w:tc>
          <w:tcPr>
            <w:tcW w:w="2408" w:type="dxa"/>
          </w:tcPr>
          <w:p>
            <w:pPr>
              <w:spacing w:line="560" w:lineRule="exact"/>
              <w:ind w:firstLine="0" w:firstLineChars="0"/>
              <w:jc w:val="center"/>
              <w:rPr>
                <w:rFonts w:ascii="黑体" w:hAnsi="黑体" w:eastAsia="黑体"/>
                <w:sz w:val="24"/>
                <w:szCs w:val="24"/>
              </w:rPr>
            </w:pPr>
            <w:r>
              <w:rPr>
                <w:rFonts w:hint="eastAsia" w:ascii="黑体" w:hAnsi="黑体" w:eastAsia="黑体"/>
                <w:sz w:val="24"/>
                <w:szCs w:val="24"/>
                <w:lang w:eastAsia="zh-CN"/>
              </w:rPr>
              <w:t>核验</w:t>
            </w:r>
            <w:r>
              <w:rPr>
                <w:rFonts w:hint="eastAsia" w:ascii="黑体" w:hAnsi="黑体" w:eastAsia="黑体"/>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2" w:hRule="atLeast"/>
        </w:trPr>
        <w:tc>
          <w:tcPr>
            <w:tcW w:w="1497" w:type="dxa"/>
            <w:vAlign w:val="center"/>
          </w:tcPr>
          <w:p>
            <w:pPr>
              <w:widowControl/>
              <w:adjustRightInd w:val="0"/>
              <w:snapToGrid w:val="0"/>
              <w:spacing w:line="320" w:lineRule="exact"/>
              <w:ind w:firstLine="0" w:firstLineChars="0"/>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建构筑物</w:t>
            </w: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1.粉尘爆炸危险场所设置在非框架结构的多层建构筑物内或与居民区、员工宿舍、会议室等人员密集场所安全距离不足。</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5" w:hRule="atLeast"/>
        </w:trPr>
        <w:tc>
          <w:tcPr>
            <w:tcW w:w="1497" w:type="dxa"/>
            <w:vMerge w:val="restart"/>
            <w:vAlign w:val="center"/>
          </w:tcPr>
          <w:p>
            <w:pPr>
              <w:spacing w:line="240" w:lineRule="auto"/>
              <w:ind w:firstLine="0" w:firstLineChars="0"/>
              <w:jc w:val="center"/>
              <w:rPr>
                <w:rFonts w:asciiTheme="minorEastAsia" w:hAnsiTheme="minorEastAsia" w:eastAsiaTheme="minorEastAsia"/>
                <w:b/>
                <w:sz w:val="24"/>
                <w:szCs w:val="24"/>
              </w:rPr>
            </w:pPr>
            <w:r>
              <w:rPr>
                <w:rFonts w:hint="eastAsia" w:cs="宋体" w:asciiTheme="minorEastAsia" w:hAnsiTheme="minorEastAsia" w:eastAsiaTheme="minorEastAsia"/>
                <w:b/>
                <w:kern w:val="0"/>
                <w:sz w:val="24"/>
                <w:szCs w:val="24"/>
              </w:rPr>
              <w:t>除尘系统</w:t>
            </w: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2.可燃性粉尘与可燃气体等易加剧爆炸危险的介质共用一套除尘系统，不同防火分区的除尘系统互联互通。</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7" w:hRule="atLeast"/>
        </w:trPr>
        <w:tc>
          <w:tcPr>
            <w:tcW w:w="1497" w:type="dxa"/>
            <w:vMerge w:val="continue"/>
          </w:tcPr>
          <w:p>
            <w:pPr>
              <w:spacing w:line="560" w:lineRule="exact"/>
              <w:ind w:firstLine="0" w:firstLineChars="0"/>
              <w:jc w:val="left"/>
              <w:rPr>
                <w:rFonts w:asciiTheme="minorEastAsia" w:hAnsiTheme="minorEastAsia" w:eastAsiaTheme="minorEastAsia"/>
                <w:b/>
                <w:sz w:val="24"/>
                <w:szCs w:val="24"/>
              </w:rPr>
            </w:pP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3.干式除尘系统未规范采用泄爆、隔爆、惰化、抑爆等任一种控爆措施。</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60" w:hRule="atLeast"/>
        </w:trPr>
        <w:tc>
          <w:tcPr>
            <w:tcW w:w="1497" w:type="dxa"/>
            <w:vMerge w:val="continue"/>
          </w:tcPr>
          <w:p>
            <w:pPr>
              <w:spacing w:line="560" w:lineRule="exact"/>
              <w:ind w:firstLine="0" w:firstLineChars="0"/>
              <w:jc w:val="left"/>
              <w:rPr>
                <w:rFonts w:asciiTheme="minorEastAsia" w:hAnsiTheme="minorEastAsia" w:eastAsiaTheme="minorEastAsia"/>
                <w:b/>
                <w:sz w:val="24"/>
                <w:szCs w:val="24"/>
              </w:rPr>
            </w:pP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4.除尘系统采用正压吹送粉尘，且未采取可靠的防范点燃源的措施。</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4" w:hRule="atLeast"/>
        </w:trPr>
        <w:tc>
          <w:tcPr>
            <w:tcW w:w="1497" w:type="dxa"/>
            <w:vMerge w:val="continue"/>
          </w:tcPr>
          <w:p>
            <w:pPr>
              <w:spacing w:line="560" w:lineRule="exact"/>
              <w:ind w:firstLine="0" w:firstLineChars="0"/>
              <w:jc w:val="left"/>
              <w:rPr>
                <w:rFonts w:asciiTheme="minorEastAsia" w:hAnsiTheme="minorEastAsia" w:eastAsiaTheme="minorEastAsia"/>
                <w:b/>
                <w:sz w:val="32"/>
                <w:szCs w:val="32"/>
              </w:rPr>
            </w:pP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5.除尘系统采用粉尘沉降室除尘，或者采用干式巷道式构筑物作为除尘风道。</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4" w:hRule="atLeast"/>
        </w:trPr>
        <w:tc>
          <w:tcPr>
            <w:tcW w:w="1497" w:type="dxa"/>
            <w:vMerge w:val="continue"/>
          </w:tcPr>
          <w:p>
            <w:pPr>
              <w:spacing w:line="560" w:lineRule="exact"/>
              <w:ind w:firstLine="0" w:firstLineChars="0"/>
              <w:jc w:val="left"/>
              <w:rPr>
                <w:rFonts w:asciiTheme="minorEastAsia" w:hAnsiTheme="minorEastAsia" w:eastAsiaTheme="minorEastAsia"/>
                <w:b/>
                <w:sz w:val="32"/>
                <w:szCs w:val="32"/>
              </w:rPr>
            </w:pP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6.铝镁等金属粉尘及木质粉尘的干式除尘系统未规范设置锁气卸灰装置。</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8" w:hRule="atLeast"/>
        </w:trPr>
        <w:tc>
          <w:tcPr>
            <w:tcW w:w="1497" w:type="dxa"/>
            <w:vMerge w:val="restart"/>
            <w:vAlign w:val="center"/>
          </w:tcPr>
          <w:p>
            <w:pPr>
              <w:spacing w:line="240" w:lineRule="auto"/>
              <w:ind w:firstLine="0" w:firstLineChars="0"/>
              <w:jc w:val="center"/>
              <w:rPr>
                <w:rFonts w:cs="宋体" w:asciiTheme="minorEastAsia" w:hAnsiTheme="minorEastAsia" w:eastAsiaTheme="minorEastAsia"/>
                <w:b/>
                <w:kern w:val="0"/>
                <w:szCs w:val="21"/>
              </w:rPr>
            </w:pPr>
            <w:r>
              <w:rPr>
                <w:rFonts w:hint="eastAsia" w:cs="宋体" w:asciiTheme="minorEastAsia" w:hAnsiTheme="minorEastAsia" w:eastAsiaTheme="minorEastAsia"/>
                <w:b/>
                <w:kern w:val="0"/>
                <w:sz w:val="24"/>
                <w:szCs w:val="24"/>
              </w:rPr>
              <w:t>防火措施</w:t>
            </w: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7.粉尘爆炸危险场所的20区未使用防爆电气设备设施。</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50" w:hRule="atLeast"/>
        </w:trPr>
        <w:tc>
          <w:tcPr>
            <w:tcW w:w="1497" w:type="dxa"/>
            <w:vMerge w:val="continue"/>
          </w:tcPr>
          <w:p>
            <w:pPr>
              <w:spacing w:line="560" w:lineRule="exact"/>
              <w:ind w:firstLine="0" w:firstLineChars="0"/>
              <w:jc w:val="left"/>
              <w:rPr>
                <w:rFonts w:asciiTheme="minorEastAsia" w:hAnsiTheme="minorEastAsia" w:eastAsiaTheme="minorEastAsia"/>
                <w:b/>
                <w:sz w:val="32"/>
                <w:szCs w:val="32"/>
              </w:rPr>
            </w:pP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8.在粉碎、研磨、造粒等易于产生机械点火源的工艺设备前，未按规范设置去除铁、石等异物的装置。</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 w:hRule="atLeast"/>
        </w:trPr>
        <w:tc>
          <w:tcPr>
            <w:tcW w:w="1497" w:type="dxa"/>
            <w:vMerge w:val="continue"/>
          </w:tcPr>
          <w:p>
            <w:pPr>
              <w:spacing w:line="560" w:lineRule="exact"/>
              <w:ind w:firstLine="0" w:firstLineChars="0"/>
              <w:jc w:val="left"/>
              <w:rPr>
                <w:rFonts w:asciiTheme="minorEastAsia" w:hAnsiTheme="minorEastAsia" w:eastAsiaTheme="minorEastAsia"/>
                <w:b/>
                <w:sz w:val="32"/>
                <w:szCs w:val="32"/>
              </w:rPr>
            </w:pP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9.木制品加工企业，与砂光机连接的风管未规范设置火花探测报警装置。</w:t>
            </w:r>
          </w:p>
        </w:tc>
        <w:tc>
          <w:tcPr>
            <w:tcW w:w="2408" w:type="dxa"/>
          </w:tcPr>
          <w:p>
            <w:pPr>
              <w:spacing w:line="560" w:lineRule="exact"/>
              <w:ind w:firstLine="0" w:firstLineChars="0"/>
              <w:jc w:val="left"/>
              <w:rPr>
                <w:rFonts w:ascii="仿宋_GB2312"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00" w:hRule="atLeast"/>
        </w:trPr>
        <w:tc>
          <w:tcPr>
            <w:tcW w:w="1497" w:type="dxa"/>
            <w:vAlign w:val="center"/>
          </w:tcPr>
          <w:p>
            <w:pPr>
              <w:widowControl/>
              <w:adjustRightInd w:val="0"/>
              <w:snapToGrid w:val="0"/>
              <w:spacing w:line="320" w:lineRule="exact"/>
              <w:ind w:firstLine="0" w:firstLineChars="0"/>
              <w:jc w:val="center"/>
              <w:rPr>
                <w:rFonts w:cs="宋体" w:asciiTheme="minorEastAsia" w:hAnsiTheme="minorEastAsia" w:eastAsiaTheme="minorEastAsia"/>
                <w:b/>
                <w:kern w:val="0"/>
                <w:sz w:val="24"/>
                <w:szCs w:val="24"/>
              </w:rPr>
            </w:pPr>
            <w:r>
              <w:rPr>
                <w:rFonts w:hint="eastAsia" w:cs="宋体" w:asciiTheme="minorEastAsia" w:hAnsiTheme="minorEastAsia" w:eastAsiaTheme="minorEastAsia"/>
                <w:b/>
                <w:kern w:val="0"/>
                <w:sz w:val="24"/>
                <w:szCs w:val="24"/>
              </w:rPr>
              <w:t>粉尘清扫</w:t>
            </w:r>
          </w:p>
        </w:tc>
        <w:tc>
          <w:tcPr>
            <w:tcW w:w="9813" w:type="dxa"/>
            <w:vAlign w:val="center"/>
          </w:tcPr>
          <w:p>
            <w:pPr>
              <w:widowControl/>
              <w:adjustRightInd w:val="0"/>
              <w:snapToGrid w:val="0"/>
              <w:spacing w:line="320" w:lineRule="exact"/>
              <w:ind w:firstLine="0" w:firstLineChars="0"/>
              <w:rPr>
                <w:rFonts w:cs="宋体" w:asciiTheme="minorEastAsia" w:hAnsiTheme="minorEastAsia" w:eastAsiaTheme="minorEastAsia"/>
                <w:kern w:val="0"/>
                <w:sz w:val="24"/>
                <w:szCs w:val="24"/>
              </w:rPr>
            </w:pPr>
            <w:r>
              <w:rPr>
                <w:rFonts w:hint="eastAsia" w:cs="宋体" w:asciiTheme="minorEastAsia" w:hAnsiTheme="minorEastAsia" w:eastAsiaTheme="minorEastAsia"/>
                <w:kern w:val="0"/>
                <w:sz w:val="24"/>
                <w:szCs w:val="24"/>
              </w:rPr>
              <w:t>10.未制定粉尘清扫制度，作业现场积尘未及时规范清理。</w:t>
            </w:r>
          </w:p>
        </w:tc>
        <w:tc>
          <w:tcPr>
            <w:tcW w:w="2408" w:type="dxa"/>
          </w:tcPr>
          <w:p>
            <w:pPr>
              <w:spacing w:line="560" w:lineRule="exact"/>
              <w:ind w:firstLine="0" w:firstLineChars="0"/>
              <w:jc w:val="left"/>
              <w:rPr>
                <w:rFonts w:ascii="仿宋_GB2312" w:eastAsia="仿宋_GB2312"/>
                <w:sz w:val="32"/>
                <w:szCs w:val="32"/>
              </w:rPr>
            </w:pPr>
          </w:p>
        </w:tc>
      </w:tr>
    </w:tbl>
    <w:p>
      <w:pPr>
        <w:adjustRightInd w:val="0"/>
        <w:snapToGrid w:val="0"/>
        <w:spacing w:line="200" w:lineRule="exact"/>
        <w:ind w:firstLine="0" w:firstLineChars="0"/>
      </w:pP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74" w:right="1588" w:bottom="1701"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439458"/>
      <w:docPartObj>
        <w:docPartGallery w:val="autotext"/>
      </w:docPartObj>
    </w:sdtPr>
    <w:sdtContent>
      <w:p>
        <w:pPr>
          <w:pStyle w:val="3"/>
          <w:ind w:firstLine="45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5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9384"/>
      <w:docPartObj>
        <w:docPartGallery w:val="autotext"/>
      </w:docPartObj>
    </w:sdtPr>
    <w:sdtContent>
      <w:p>
        <w:pPr>
          <w:pStyle w:val="3"/>
          <w:ind w:firstLine="450"/>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firstLine="45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45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45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firstLine="45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33A"/>
    <w:rsid w:val="000128C7"/>
    <w:rsid w:val="0001293C"/>
    <w:rsid w:val="00015AD4"/>
    <w:rsid w:val="000312CC"/>
    <w:rsid w:val="00047396"/>
    <w:rsid w:val="0008107B"/>
    <w:rsid w:val="000A09C5"/>
    <w:rsid w:val="00134315"/>
    <w:rsid w:val="00136397"/>
    <w:rsid w:val="00177E8E"/>
    <w:rsid w:val="00182451"/>
    <w:rsid w:val="001B404F"/>
    <w:rsid w:val="001D27CC"/>
    <w:rsid w:val="002119D9"/>
    <w:rsid w:val="00273EAF"/>
    <w:rsid w:val="00290746"/>
    <w:rsid w:val="002A2D31"/>
    <w:rsid w:val="002C4A46"/>
    <w:rsid w:val="002F163F"/>
    <w:rsid w:val="0032000C"/>
    <w:rsid w:val="00334999"/>
    <w:rsid w:val="00375CA7"/>
    <w:rsid w:val="003834F8"/>
    <w:rsid w:val="003C2098"/>
    <w:rsid w:val="003D14DA"/>
    <w:rsid w:val="003F78F5"/>
    <w:rsid w:val="00452394"/>
    <w:rsid w:val="00464A84"/>
    <w:rsid w:val="00477A84"/>
    <w:rsid w:val="0048663F"/>
    <w:rsid w:val="004E1772"/>
    <w:rsid w:val="00501546"/>
    <w:rsid w:val="00554DCE"/>
    <w:rsid w:val="005608AB"/>
    <w:rsid w:val="005612C5"/>
    <w:rsid w:val="005728E6"/>
    <w:rsid w:val="00576551"/>
    <w:rsid w:val="00576938"/>
    <w:rsid w:val="005A0396"/>
    <w:rsid w:val="005B1FD2"/>
    <w:rsid w:val="00643FE3"/>
    <w:rsid w:val="00650A00"/>
    <w:rsid w:val="006D23A2"/>
    <w:rsid w:val="006E320F"/>
    <w:rsid w:val="006F3B22"/>
    <w:rsid w:val="0073703B"/>
    <w:rsid w:val="007520DC"/>
    <w:rsid w:val="00782B0B"/>
    <w:rsid w:val="007A2019"/>
    <w:rsid w:val="007A680F"/>
    <w:rsid w:val="007D0983"/>
    <w:rsid w:val="007F35D2"/>
    <w:rsid w:val="008006A0"/>
    <w:rsid w:val="00871096"/>
    <w:rsid w:val="00872066"/>
    <w:rsid w:val="00887832"/>
    <w:rsid w:val="008A5B95"/>
    <w:rsid w:val="008F2CE8"/>
    <w:rsid w:val="00934BF4"/>
    <w:rsid w:val="00953FF1"/>
    <w:rsid w:val="0098372E"/>
    <w:rsid w:val="00984084"/>
    <w:rsid w:val="009953A7"/>
    <w:rsid w:val="009958F4"/>
    <w:rsid w:val="009C2437"/>
    <w:rsid w:val="00A00F51"/>
    <w:rsid w:val="00A42A03"/>
    <w:rsid w:val="00A64E97"/>
    <w:rsid w:val="00A81007"/>
    <w:rsid w:val="00A9150E"/>
    <w:rsid w:val="00AD594A"/>
    <w:rsid w:val="00B32FA6"/>
    <w:rsid w:val="00B368E8"/>
    <w:rsid w:val="00B648A6"/>
    <w:rsid w:val="00BD3739"/>
    <w:rsid w:val="00BF533A"/>
    <w:rsid w:val="00C3110A"/>
    <w:rsid w:val="00C614B1"/>
    <w:rsid w:val="00C84E6A"/>
    <w:rsid w:val="00CC7461"/>
    <w:rsid w:val="00CD60F2"/>
    <w:rsid w:val="00CF3C37"/>
    <w:rsid w:val="00D33D85"/>
    <w:rsid w:val="00D90E39"/>
    <w:rsid w:val="00D93E95"/>
    <w:rsid w:val="00DA5BEE"/>
    <w:rsid w:val="00DE5DE9"/>
    <w:rsid w:val="00DF5267"/>
    <w:rsid w:val="00E501ED"/>
    <w:rsid w:val="00EC14B4"/>
    <w:rsid w:val="00EC48BC"/>
    <w:rsid w:val="00ED599C"/>
    <w:rsid w:val="00F95172"/>
    <w:rsid w:val="00F97604"/>
    <w:rsid w:val="00FC4BCA"/>
    <w:rsid w:val="00FE462F"/>
    <w:rsid w:val="34567192"/>
    <w:rsid w:val="4A923598"/>
    <w:rsid w:val="5C2C544A"/>
    <w:rsid w:val="5F295A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60" w:lineRule="exact"/>
      <w:ind w:firstLine="250" w:firstLineChars="25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spacing w:line="240" w:lineRule="atLeast"/>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7">
    <w:name w:val="页眉 Char"/>
    <w:basedOn w:val="6"/>
    <w:link w:val="4"/>
    <w:qFormat/>
    <w:uiPriority w:val="99"/>
    <w:rPr>
      <w:rFonts w:ascii="Calibri" w:hAnsi="Calibri" w:eastAsia="宋体" w:cs="Times New Roman"/>
      <w:sz w:val="18"/>
      <w:szCs w:val="18"/>
    </w:rPr>
  </w:style>
  <w:style w:type="character" w:customStyle="1" w:styleId="8">
    <w:name w:val="页脚 Char"/>
    <w:basedOn w:val="6"/>
    <w:link w:val="3"/>
    <w:qFormat/>
    <w:uiPriority w:val="99"/>
    <w:rPr>
      <w:rFonts w:ascii="Calibri" w:hAnsi="Calibri" w:eastAsia="宋体" w:cs="Times New Roman"/>
      <w:sz w:val="18"/>
      <w:szCs w:val="18"/>
    </w:rPr>
  </w:style>
  <w:style w:type="character" w:customStyle="1" w:styleId="9">
    <w:name w:val="批注框文本 Char"/>
    <w:basedOn w:val="6"/>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DAA996-3367-48FD-932A-0B0890D370C6}">
  <ds:schemaRefs/>
</ds:datastoreItem>
</file>

<file path=docProps/app.xml><?xml version="1.0" encoding="utf-8"?>
<Properties xmlns="http://schemas.openxmlformats.org/officeDocument/2006/extended-properties" xmlns:vt="http://schemas.openxmlformats.org/officeDocument/2006/docPropsVTypes">
  <Template>Normal</Template>
  <Pages>1</Pages>
  <Words>87</Words>
  <Characters>500</Characters>
  <Lines>4</Lines>
  <Paragraphs>1</Paragraphs>
  <TotalTime>0</TotalTime>
  <ScaleCrop>false</ScaleCrop>
  <LinksUpToDate>false</LinksUpToDate>
  <CharactersWithSpaces>586</CharactersWithSpaces>
  <Application>WPS Office_11.1.0.8515_F1E327BC-269C-435d-A152-05C5408002CA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2018-03-05T08:09:00Z</dcterms:created>
  <dc:creator>侠ڏ⿀ࣃ쾈ۘ飀ݏਛ聀࣌ቨځਛ䦘ڏፈځ냠ٵ므ऐ</dc:creator>
  <cp:lastModifiedBy>王旭亮</cp:lastModifiedBy>
  <cp:lastPrinted>2019-03-08T06:37:40Z</cp:lastPrinted>
  <dcterms:modified xsi:type="dcterms:W3CDTF">2019-03-08T06:38:01Z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2052-11.1.0.8515</vt:lpwstr>
  </property>
</Properties>
</file>