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泰安市应急管理局2021年政府信息</w:t>
      </w:r>
    </w:p>
    <w:p>
      <w:pPr>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公开工作年度报告</w:t>
      </w:r>
    </w:p>
    <w:p>
      <w:pPr>
        <w:pStyle w:val="2"/>
        <w:keepNext w:val="0"/>
        <w:keepLines w:val="0"/>
        <w:widowControl/>
        <w:suppressLineNumbers w:val="0"/>
        <w:spacing w:before="0" w:beforeAutospacing="0" w:after="0" w:afterAutospacing="0" w:line="420" w:lineRule="atLeast"/>
        <w:ind w:left="0" w:right="0" w:firstLine="0"/>
        <w:rPr>
          <w:rFonts w:hint="eastAsia" w:ascii="仿宋" w:hAnsi="仿宋" w:eastAsia="仿宋" w:cs="仿宋"/>
          <w:i w:val="0"/>
          <w:iCs w:val="0"/>
          <w:caps w:val="0"/>
          <w:color w:val="000000"/>
          <w:spacing w:val="0"/>
          <w:sz w:val="28"/>
          <w:szCs w:val="28"/>
        </w:rPr>
      </w:pPr>
      <w:r>
        <w:rPr>
          <w:rFonts w:hint="default" w:ascii="sans-serif" w:hAnsi="sans-serif" w:eastAsia="sans-serif" w:cs="sans-serif"/>
          <w:i w:val="0"/>
          <w:iCs w:val="0"/>
          <w:caps w:val="0"/>
          <w:color w:val="000000"/>
          <w:spacing w:val="0"/>
          <w:sz w:val="19"/>
          <w:szCs w:val="19"/>
        </w:rPr>
        <w:t>  </w:t>
      </w:r>
      <w:r>
        <w:rPr>
          <w:rFonts w:hint="eastAsia" w:ascii="仿宋" w:hAnsi="仿宋" w:eastAsia="仿宋" w:cs="仿宋"/>
          <w:i w:val="0"/>
          <w:iCs w:val="0"/>
          <w:caps w:val="0"/>
          <w:color w:val="000000"/>
          <w:spacing w:val="0"/>
          <w:sz w:val="28"/>
          <w:szCs w:val="28"/>
        </w:rPr>
        <w:t>根据《中华人民共和国政府信息公开条例》，特向社会公布2021年度本机关政府信息公开工作年度报告。全文包括：年度报告应当包括总体情况；行政机关主动公开政府信息的情况；行政机关收到和处理政府信息公开申请的情况；因政府信息公开工作被申请行政复议、提起行政诉讼的情况；政府信息公开工作存在的主要问题及改进情况，各级人民政府的政府信息公开工作年度报告还应当包括工作考核、社会评议和责任追究结果情况；其他需要报告的事项。报告中所列数据的统计期限自2021年1月1日起至2021年12月31日止。</w:t>
      </w:r>
    </w:p>
    <w:p>
      <w:pPr>
        <w:pStyle w:val="2"/>
        <w:keepNext w:val="0"/>
        <w:keepLines w:val="0"/>
        <w:widowControl/>
        <w:suppressLineNumbers w:val="0"/>
        <w:spacing w:before="0" w:beforeAutospacing="0" w:after="0" w:afterAutospacing="0" w:line="480" w:lineRule="atLeast"/>
        <w:ind w:left="0" w:right="0" w:firstLine="516"/>
        <w:jc w:val="both"/>
        <w:rPr>
          <w:rFonts w:hint="eastAsia" w:ascii="黑体" w:hAnsi="黑体" w:eastAsia="黑体" w:cs="黑体"/>
          <w:i w:val="0"/>
          <w:iCs w:val="0"/>
          <w:caps w:val="0"/>
          <w:color w:val="000000"/>
          <w:spacing w:val="0"/>
          <w:sz w:val="28"/>
          <w:szCs w:val="28"/>
        </w:rPr>
      </w:pPr>
      <w:r>
        <w:rPr>
          <w:rFonts w:hint="eastAsia" w:ascii="黑体" w:hAnsi="黑体" w:eastAsia="黑体" w:cs="黑体"/>
          <w:i w:val="0"/>
          <w:iCs w:val="0"/>
          <w:caps w:val="0"/>
          <w:color w:val="333333"/>
          <w:spacing w:val="0"/>
          <w:sz w:val="28"/>
          <w:szCs w:val="28"/>
        </w:rPr>
        <w:t>一、总体情况</w:t>
      </w:r>
    </w:p>
    <w:p>
      <w:pPr>
        <w:pStyle w:val="2"/>
        <w:keepNext w:val="0"/>
        <w:keepLines w:val="0"/>
        <w:widowControl/>
        <w:suppressLineNumbers w:val="0"/>
        <w:spacing w:before="0" w:beforeAutospacing="0" w:after="0" w:afterAutospacing="0" w:line="420" w:lineRule="atLeast"/>
        <w:ind w:left="0" w:right="0" w:firstLine="516"/>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2021年，泰安市应急管理局持续推进政务公开工作，加大开放力度，强化安全生产和救灾领域基层政务公开，推动政务公开工作再上新台阶。</w:t>
      </w:r>
    </w:p>
    <w:p>
      <w:pPr>
        <w:pStyle w:val="2"/>
        <w:keepNext w:val="0"/>
        <w:keepLines w:val="0"/>
        <w:widowControl/>
        <w:suppressLineNumbers w:val="0"/>
        <w:spacing w:before="0" w:beforeAutospacing="0" w:after="0" w:afterAutospacing="0" w:line="420" w:lineRule="atLeast"/>
        <w:ind w:left="0" w:right="0" w:firstLine="516"/>
        <w:rPr>
          <w:rFonts w:hint="eastAsia" w:ascii="黑体" w:hAnsi="黑体" w:eastAsia="黑体" w:cs="黑体"/>
          <w:i w:val="0"/>
          <w:iCs w:val="0"/>
          <w:caps w:val="0"/>
          <w:color w:val="000000"/>
          <w:spacing w:val="0"/>
          <w:sz w:val="28"/>
          <w:szCs w:val="28"/>
        </w:rPr>
      </w:pPr>
      <w:r>
        <w:rPr>
          <w:rFonts w:hint="eastAsia" w:ascii="黑体" w:hAnsi="黑体" w:eastAsia="黑体" w:cs="黑体"/>
          <w:i w:val="0"/>
          <w:iCs w:val="0"/>
          <w:caps w:val="0"/>
          <w:color w:val="000000"/>
          <w:spacing w:val="0"/>
          <w:sz w:val="28"/>
          <w:szCs w:val="28"/>
        </w:rPr>
        <w:t>（一）主动公开工作方面</w:t>
      </w:r>
    </w:p>
    <w:p>
      <w:pPr>
        <w:pStyle w:val="2"/>
        <w:keepNext w:val="0"/>
        <w:keepLines w:val="0"/>
        <w:widowControl/>
        <w:suppressLineNumbers w:val="0"/>
        <w:spacing w:before="0" w:beforeAutospacing="0" w:after="0" w:afterAutospacing="0" w:line="420" w:lineRule="atLeast"/>
        <w:ind w:left="0" w:right="0" w:firstLine="516"/>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2021年，市应急局按照主动公开目录基本规范要求，通过“泰山安全网”-“政府信息公开平台”栏目，发布信息710条，其中，履职依据栏目发布部门文件、部门规范性文件备案、部门规范性文件清理等信息56条；机构职能栏目发布机构概况、内设机构、下属单位、部门领导成员及分工等信息6条；规划信息栏目发布专项规划、区域规划、年度计划等信息12条；统计信息10条；人事信息3条；行政权力运行栏目发布信息212条，其他法定信息栏目发布政策解读、公众开放日及听证会等信息14条；重点领域信息公开栏目发布社会公益事业建设、安全生产监管信息等信息411条。</w:t>
      </w:r>
    </w:p>
    <w:p>
      <w:pPr>
        <w:pStyle w:val="2"/>
        <w:keepNext w:val="0"/>
        <w:keepLines w:val="0"/>
        <w:widowControl/>
        <w:suppressLineNumbers w:val="0"/>
        <w:spacing w:before="0" w:beforeAutospacing="0" w:after="0" w:afterAutospacing="0" w:line="420" w:lineRule="atLeast"/>
        <w:ind w:left="0" w:right="0" w:firstLine="516"/>
        <w:rPr>
          <w:rFonts w:hint="eastAsia" w:ascii="黑体" w:hAnsi="黑体" w:eastAsia="黑体" w:cs="黑体"/>
          <w:b w:val="0"/>
          <w:bCs w:val="0"/>
          <w:i w:val="0"/>
          <w:iCs w:val="0"/>
          <w:caps w:val="0"/>
          <w:color w:val="000000"/>
          <w:spacing w:val="0"/>
          <w:sz w:val="28"/>
          <w:szCs w:val="28"/>
        </w:rPr>
      </w:pPr>
      <w:r>
        <w:rPr>
          <w:rFonts w:hint="eastAsia" w:ascii="黑体" w:hAnsi="黑体" w:eastAsia="黑体" w:cs="黑体"/>
          <w:b w:val="0"/>
          <w:bCs w:val="0"/>
          <w:i w:val="0"/>
          <w:iCs w:val="0"/>
          <w:caps w:val="0"/>
          <w:color w:val="000000"/>
          <w:spacing w:val="0"/>
          <w:sz w:val="28"/>
          <w:szCs w:val="28"/>
        </w:rPr>
        <w:t>（二）依申请公开工作方面</w:t>
      </w:r>
    </w:p>
    <w:p>
      <w:pPr>
        <w:pStyle w:val="2"/>
        <w:keepNext w:val="0"/>
        <w:keepLines w:val="0"/>
        <w:widowControl/>
        <w:suppressLineNumbers w:val="0"/>
        <w:spacing w:before="0" w:beforeAutospacing="0" w:after="0" w:afterAutospacing="0" w:line="420" w:lineRule="atLeast"/>
        <w:ind w:left="0" w:right="0" w:firstLine="516"/>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2021年市应急局共收到1条依申请公开，涉及住宅与商业楼消防要求，市应急局已按照《中华人民共和国政府信息公开条例》予以规范性答复，答复率100%。</w:t>
      </w:r>
    </w:p>
    <w:p>
      <w:pPr>
        <w:pStyle w:val="2"/>
        <w:keepNext w:val="0"/>
        <w:keepLines w:val="0"/>
        <w:widowControl/>
        <w:suppressLineNumbers w:val="0"/>
        <w:spacing w:before="0" w:beforeAutospacing="0" w:after="0" w:afterAutospacing="0" w:line="420" w:lineRule="atLeast"/>
        <w:ind w:left="0" w:right="0" w:firstLine="516"/>
        <w:rPr>
          <w:rFonts w:hint="eastAsia" w:ascii="黑体" w:hAnsi="黑体" w:eastAsia="黑体" w:cs="黑体"/>
          <w:i w:val="0"/>
          <w:iCs w:val="0"/>
          <w:caps w:val="0"/>
          <w:color w:val="000000"/>
          <w:spacing w:val="0"/>
          <w:sz w:val="28"/>
          <w:szCs w:val="28"/>
        </w:rPr>
      </w:pPr>
      <w:r>
        <w:rPr>
          <w:rFonts w:hint="eastAsia" w:ascii="黑体" w:hAnsi="黑体" w:eastAsia="黑体" w:cs="黑体"/>
          <w:i w:val="0"/>
          <w:iCs w:val="0"/>
          <w:caps w:val="0"/>
          <w:color w:val="000000"/>
          <w:spacing w:val="0"/>
          <w:sz w:val="28"/>
          <w:szCs w:val="28"/>
        </w:rPr>
        <w:t>（三）政府信息管理方面</w:t>
      </w:r>
    </w:p>
    <w:p>
      <w:pPr>
        <w:pStyle w:val="2"/>
        <w:keepNext w:val="0"/>
        <w:keepLines w:val="0"/>
        <w:widowControl/>
        <w:suppressLineNumbers w:val="0"/>
        <w:spacing w:before="0" w:beforeAutospacing="0" w:after="0" w:afterAutospacing="0" w:line="420" w:lineRule="atLeast"/>
        <w:ind w:left="0" w:right="0" w:firstLine="516"/>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市应急局严格政府信息审核发布工作，由信息制作或保存科室、直属事业单位依照《中华人民共和国保守国家秘密法》以及其他法律、法规和国家有关规定对拟公开的政府信息进行审查，经分管领导确认后发布，对涉及公民、法人和其他组织的重大利益，或者有重大社会影响的政府信息，草案主动向社会公开，充分听取公众意见。</w:t>
      </w:r>
    </w:p>
    <w:p>
      <w:pPr>
        <w:pStyle w:val="2"/>
        <w:keepNext w:val="0"/>
        <w:keepLines w:val="0"/>
        <w:widowControl/>
        <w:suppressLineNumbers w:val="0"/>
        <w:spacing w:before="0" w:beforeAutospacing="0" w:after="0" w:afterAutospacing="0" w:line="420" w:lineRule="atLeast"/>
        <w:ind w:left="0" w:right="0" w:firstLine="516"/>
        <w:rPr>
          <w:rFonts w:hint="eastAsia" w:ascii="黑体" w:hAnsi="黑体" w:eastAsia="黑体" w:cs="黑体"/>
          <w:i w:val="0"/>
          <w:iCs w:val="0"/>
          <w:caps w:val="0"/>
          <w:color w:val="000000"/>
          <w:spacing w:val="0"/>
          <w:sz w:val="28"/>
          <w:szCs w:val="28"/>
        </w:rPr>
      </w:pPr>
      <w:r>
        <w:rPr>
          <w:rFonts w:hint="eastAsia" w:ascii="黑体" w:hAnsi="黑体" w:eastAsia="黑体" w:cs="黑体"/>
          <w:i w:val="0"/>
          <w:iCs w:val="0"/>
          <w:caps w:val="0"/>
          <w:color w:val="000000"/>
          <w:spacing w:val="0"/>
          <w:sz w:val="28"/>
          <w:szCs w:val="28"/>
        </w:rPr>
        <w:t>（四）平台建设方面</w:t>
      </w:r>
    </w:p>
    <w:p>
      <w:pPr>
        <w:pStyle w:val="2"/>
        <w:keepNext w:val="0"/>
        <w:keepLines w:val="0"/>
        <w:widowControl/>
        <w:suppressLineNumbers w:val="0"/>
        <w:spacing w:before="0" w:beforeAutospacing="0" w:after="0" w:afterAutospacing="0" w:line="420" w:lineRule="atLeast"/>
        <w:ind w:left="0" w:right="0" w:firstLine="516"/>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泰山安全网是泰安市应急管理局官方网站，主要功能为宣传安全生产法律法规，发布文件通知，政府信息公开，应急科普宣传、警示教育等。设有11个专题专栏，全年发布各类信息4000余条，年访问量60余万次。“泰山安全网”被市委网信办、市文明办通报表扬为“泰安市文明网站”。</w:t>
      </w:r>
    </w:p>
    <w:p>
      <w:pPr>
        <w:pStyle w:val="2"/>
        <w:keepNext w:val="0"/>
        <w:keepLines w:val="0"/>
        <w:widowControl/>
        <w:suppressLineNumbers w:val="0"/>
        <w:spacing w:before="0" w:beforeAutospacing="0" w:after="0" w:afterAutospacing="0" w:line="420" w:lineRule="atLeast"/>
        <w:ind w:left="0" w:right="0" w:firstLine="516"/>
        <w:rPr>
          <w:rFonts w:hint="eastAsia" w:ascii="黑体" w:hAnsi="黑体" w:eastAsia="黑体" w:cs="黑体"/>
          <w:i w:val="0"/>
          <w:iCs w:val="0"/>
          <w:caps w:val="0"/>
          <w:color w:val="000000"/>
          <w:spacing w:val="0"/>
          <w:sz w:val="28"/>
          <w:szCs w:val="28"/>
        </w:rPr>
      </w:pPr>
      <w:r>
        <w:rPr>
          <w:rFonts w:hint="eastAsia" w:ascii="黑体" w:hAnsi="黑体" w:eastAsia="黑体" w:cs="黑体"/>
          <w:i w:val="0"/>
          <w:iCs w:val="0"/>
          <w:caps w:val="0"/>
          <w:color w:val="000000"/>
          <w:spacing w:val="0"/>
          <w:sz w:val="28"/>
          <w:szCs w:val="28"/>
        </w:rPr>
        <w:t>（五）监督保障方面</w:t>
      </w:r>
    </w:p>
    <w:p>
      <w:pPr>
        <w:pStyle w:val="2"/>
        <w:keepNext w:val="0"/>
        <w:keepLines w:val="0"/>
        <w:widowControl/>
        <w:suppressLineNumbers w:val="0"/>
        <w:spacing w:before="0" w:beforeAutospacing="0" w:after="0" w:afterAutospacing="0" w:line="420" w:lineRule="atLeast"/>
        <w:ind w:left="0" w:right="0" w:firstLine="516"/>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强化人员力量建设，根据人员变动情况，及时调整领导小组，进一步明确领导小组及领导小组办公室工作职责，办公室确定一名同志，负责全局政务公开工作，各科室、直属单位确定一名同志，负责公开工作开展。加强培训工作，依托省应急厅应急大讲堂，举办政府信息公开工作专题培训。</w:t>
      </w:r>
    </w:p>
    <w:p>
      <w:pPr>
        <w:pStyle w:val="2"/>
        <w:keepNext w:val="0"/>
        <w:keepLines w:val="0"/>
        <w:widowControl/>
        <w:suppressLineNumbers w:val="0"/>
        <w:spacing w:before="0" w:beforeAutospacing="0" w:after="0" w:afterAutospacing="0" w:line="480" w:lineRule="atLeast"/>
        <w:ind w:left="0" w:right="0" w:firstLine="516"/>
        <w:jc w:val="both"/>
        <w:rPr>
          <w:rFonts w:hint="eastAsia" w:ascii="黑体" w:hAnsi="黑体" w:eastAsia="黑体" w:cs="黑体"/>
          <w:i w:val="0"/>
          <w:iCs w:val="0"/>
          <w:caps w:val="0"/>
          <w:color w:val="000000"/>
          <w:spacing w:val="0"/>
          <w:sz w:val="28"/>
          <w:szCs w:val="28"/>
        </w:rPr>
      </w:pPr>
      <w:r>
        <w:rPr>
          <w:rFonts w:hint="eastAsia" w:ascii="黑体" w:hAnsi="黑体" w:eastAsia="黑体" w:cs="黑体"/>
          <w:i w:val="0"/>
          <w:iCs w:val="0"/>
          <w:caps w:val="0"/>
          <w:color w:val="333333"/>
          <w:spacing w:val="0"/>
          <w:sz w:val="28"/>
          <w:szCs w:val="28"/>
        </w:rPr>
        <w:t>二、主动公开政府信息情况</w:t>
      </w:r>
    </w:p>
    <w:p>
      <w:pPr>
        <w:pStyle w:val="2"/>
        <w:keepNext w:val="0"/>
        <w:keepLines w:val="0"/>
        <w:widowControl/>
        <w:suppressLineNumbers w:val="0"/>
        <w:spacing w:before="0" w:beforeAutospacing="0" w:after="0" w:afterAutospacing="0" w:line="420" w:lineRule="atLeast"/>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w:t>
      </w:r>
    </w:p>
    <w:tbl>
      <w:tblPr>
        <w:tblStyle w:val="3"/>
        <w:tblW w:w="70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764"/>
        <w:gridCol w:w="1764"/>
        <w:gridCol w:w="1764"/>
        <w:gridCol w:w="17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6" w:hRule="atLeast"/>
        </w:trPr>
        <w:tc>
          <w:tcPr>
            <w:tcW w:w="7056" w:type="dxa"/>
            <w:gridSpan w:val="4"/>
            <w:tcBorders>
              <w:top w:val="single" w:color="auto" w:sz="4" w:space="0"/>
              <w:left w:val="single" w:color="auto" w:sz="4" w:space="0"/>
              <w:bottom w:val="single" w:color="auto" w:sz="4" w:space="0"/>
              <w:right w:val="single" w:color="auto" w:sz="4" w:space="0"/>
            </w:tcBorders>
            <w:shd w:val="clear" w:color="auto" w:fill="C6D9F1"/>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6" w:hRule="atLeast"/>
        </w:trPr>
        <w:tc>
          <w:tcPr>
            <w:tcW w:w="1764"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信息内容</w:t>
            </w:r>
          </w:p>
        </w:tc>
        <w:tc>
          <w:tcPr>
            <w:tcW w:w="176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本年制发件数</w:t>
            </w:r>
          </w:p>
        </w:tc>
        <w:tc>
          <w:tcPr>
            <w:tcW w:w="176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本年废止件数</w:t>
            </w:r>
          </w:p>
        </w:tc>
        <w:tc>
          <w:tcPr>
            <w:tcW w:w="176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现行有效件数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trPr>
        <w:tc>
          <w:tcPr>
            <w:tcW w:w="1764"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规章</w:t>
            </w:r>
          </w:p>
        </w:tc>
        <w:tc>
          <w:tcPr>
            <w:tcW w:w="17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36"/>
              <w:jc w:val="both"/>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0</w:t>
            </w:r>
          </w:p>
        </w:tc>
        <w:tc>
          <w:tcPr>
            <w:tcW w:w="17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 　0</w:t>
            </w:r>
          </w:p>
        </w:tc>
        <w:tc>
          <w:tcPr>
            <w:tcW w:w="17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trPr>
        <w:tc>
          <w:tcPr>
            <w:tcW w:w="1764"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行政规范性文件</w:t>
            </w:r>
          </w:p>
        </w:tc>
        <w:tc>
          <w:tcPr>
            <w:tcW w:w="17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　　0</w:t>
            </w:r>
          </w:p>
        </w:tc>
        <w:tc>
          <w:tcPr>
            <w:tcW w:w="17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36"/>
              <w:jc w:val="both"/>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1</w:t>
            </w:r>
          </w:p>
        </w:tc>
        <w:tc>
          <w:tcPr>
            <w:tcW w:w="17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168"/>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bookmarkStart w:id="0" w:name="_GoBack"/>
            <w:bookmarkEnd w:id="0"/>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6" w:hRule="atLeast"/>
        </w:trPr>
        <w:tc>
          <w:tcPr>
            <w:tcW w:w="7056" w:type="dxa"/>
            <w:gridSpan w:val="4"/>
            <w:tcBorders>
              <w:top w:val="nil"/>
              <w:left w:val="single" w:color="auto" w:sz="4" w:space="0"/>
              <w:bottom w:val="single" w:color="auto" w:sz="4" w:space="0"/>
              <w:right w:val="single" w:color="auto" w:sz="4" w:space="0"/>
            </w:tcBorders>
            <w:shd w:val="clear" w:color="auto" w:fill="C6D9F1"/>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6" w:hRule="atLeast"/>
        </w:trPr>
        <w:tc>
          <w:tcPr>
            <w:tcW w:w="1764"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信息内容</w:t>
            </w:r>
          </w:p>
        </w:tc>
        <w:tc>
          <w:tcPr>
            <w:tcW w:w="5292" w:type="dxa"/>
            <w:gridSpan w:val="3"/>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6" w:hRule="atLeast"/>
        </w:trPr>
        <w:tc>
          <w:tcPr>
            <w:tcW w:w="1764"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行政许可</w:t>
            </w:r>
          </w:p>
        </w:tc>
        <w:tc>
          <w:tcPr>
            <w:tcW w:w="5292" w:type="dxa"/>
            <w:gridSpan w:val="3"/>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　19705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6" w:hRule="atLeast"/>
        </w:trPr>
        <w:tc>
          <w:tcPr>
            <w:tcW w:w="7056" w:type="dxa"/>
            <w:gridSpan w:val="4"/>
            <w:tcBorders>
              <w:top w:val="nil"/>
              <w:left w:val="single" w:color="auto" w:sz="4" w:space="0"/>
              <w:bottom w:val="single" w:color="auto" w:sz="4" w:space="0"/>
              <w:right w:val="single" w:color="auto" w:sz="4" w:space="0"/>
            </w:tcBorders>
            <w:shd w:val="clear" w:color="auto" w:fill="C6D9F1"/>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6" w:hRule="atLeast"/>
        </w:trPr>
        <w:tc>
          <w:tcPr>
            <w:tcW w:w="1764"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信息内容</w:t>
            </w:r>
          </w:p>
        </w:tc>
        <w:tc>
          <w:tcPr>
            <w:tcW w:w="5292" w:type="dxa"/>
            <w:gridSpan w:val="3"/>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6" w:hRule="atLeast"/>
        </w:trPr>
        <w:tc>
          <w:tcPr>
            <w:tcW w:w="1764"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行政处罚</w:t>
            </w:r>
          </w:p>
        </w:tc>
        <w:tc>
          <w:tcPr>
            <w:tcW w:w="5292" w:type="dxa"/>
            <w:gridSpan w:val="3"/>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　186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6" w:hRule="atLeast"/>
        </w:trPr>
        <w:tc>
          <w:tcPr>
            <w:tcW w:w="1764"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行政强制</w:t>
            </w:r>
          </w:p>
        </w:tc>
        <w:tc>
          <w:tcPr>
            <w:tcW w:w="5292" w:type="dxa"/>
            <w:gridSpan w:val="3"/>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6" w:hRule="atLeast"/>
        </w:trPr>
        <w:tc>
          <w:tcPr>
            <w:tcW w:w="7056" w:type="dxa"/>
            <w:gridSpan w:val="4"/>
            <w:tcBorders>
              <w:top w:val="nil"/>
              <w:left w:val="single" w:color="auto" w:sz="4" w:space="0"/>
              <w:bottom w:val="single" w:color="auto" w:sz="4" w:space="0"/>
              <w:right w:val="single" w:color="auto" w:sz="4" w:space="0"/>
            </w:tcBorders>
            <w:shd w:val="clear" w:color="auto" w:fill="C6D9F1"/>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6" w:hRule="atLeast"/>
        </w:trPr>
        <w:tc>
          <w:tcPr>
            <w:tcW w:w="1764"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信息内容</w:t>
            </w:r>
          </w:p>
        </w:tc>
        <w:tc>
          <w:tcPr>
            <w:tcW w:w="5292" w:type="dxa"/>
            <w:gridSpan w:val="3"/>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本年收费金额（单位：万元）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6" w:hRule="atLeast"/>
        </w:trPr>
        <w:tc>
          <w:tcPr>
            <w:tcW w:w="1764"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行政事业性收费</w:t>
            </w:r>
          </w:p>
        </w:tc>
        <w:tc>
          <w:tcPr>
            <w:tcW w:w="5292" w:type="dxa"/>
            <w:gridSpan w:val="3"/>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　0</w:t>
            </w:r>
          </w:p>
        </w:tc>
      </w:tr>
    </w:tbl>
    <w:p>
      <w:pPr>
        <w:pStyle w:val="2"/>
        <w:keepNext w:val="0"/>
        <w:keepLines w:val="0"/>
        <w:widowControl/>
        <w:suppressLineNumbers w:val="0"/>
        <w:spacing w:before="0" w:beforeAutospacing="0" w:after="0" w:afterAutospacing="0" w:line="420" w:lineRule="atLeast"/>
        <w:ind w:left="0" w:right="0" w:firstLine="516"/>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333333"/>
          <w:spacing w:val="0"/>
          <w:sz w:val="28"/>
          <w:szCs w:val="28"/>
        </w:rPr>
        <w:t> </w:t>
      </w:r>
    </w:p>
    <w:p>
      <w:pPr>
        <w:pStyle w:val="2"/>
        <w:keepNext w:val="0"/>
        <w:keepLines w:val="0"/>
        <w:widowControl/>
        <w:suppressLineNumbers w:val="0"/>
        <w:spacing w:before="0" w:beforeAutospacing="0" w:after="0" w:afterAutospacing="0" w:line="420" w:lineRule="atLeast"/>
        <w:ind w:left="0" w:right="0" w:firstLine="516"/>
        <w:rPr>
          <w:rFonts w:hint="eastAsia" w:ascii="黑体" w:hAnsi="黑体" w:eastAsia="黑体" w:cs="黑体"/>
          <w:i w:val="0"/>
          <w:iCs w:val="0"/>
          <w:caps w:val="0"/>
          <w:color w:val="000000"/>
          <w:spacing w:val="0"/>
          <w:sz w:val="28"/>
          <w:szCs w:val="28"/>
        </w:rPr>
      </w:pPr>
      <w:r>
        <w:rPr>
          <w:rFonts w:hint="eastAsia" w:ascii="黑体" w:hAnsi="黑体" w:eastAsia="黑体" w:cs="黑体"/>
          <w:i w:val="0"/>
          <w:iCs w:val="0"/>
          <w:caps w:val="0"/>
          <w:color w:val="333333"/>
          <w:spacing w:val="0"/>
          <w:sz w:val="28"/>
          <w:szCs w:val="28"/>
        </w:rPr>
        <w:t>三、收到和处理政府信息公开申请情况</w:t>
      </w:r>
    </w:p>
    <w:p>
      <w:pPr>
        <w:pStyle w:val="2"/>
        <w:keepNext w:val="0"/>
        <w:keepLines w:val="0"/>
        <w:widowControl/>
        <w:suppressLineNumbers w:val="0"/>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333333"/>
          <w:spacing w:val="0"/>
          <w:sz w:val="28"/>
          <w:szCs w:val="28"/>
        </w:rPr>
        <w:t> </w:t>
      </w:r>
    </w:p>
    <w:tbl>
      <w:tblPr>
        <w:tblStyle w:val="3"/>
        <w:tblW w:w="793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28"/>
        <w:gridCol w:w="1304"/>
        <w:gridCol w:w="2143"/>
        <w:gridCol w:w="629"/>
        <w:gridCol w:w="455"/>
        <w:gridCol w:w="455"/>
        <w:gridCol w:w="567"/>
        <w:gridCol w:w="547"/>
        <w:gridCol w:w="455"/>
        <w:gridCol w:w="6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jc w:val="center"/>
        </w:trPr>
        <w:tc>
          <w:tcPr>
            <w:tcW w:w="4080"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（本列数据的勾稽关系为：第一项加第二项之和，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等于第三项加第四项之和）</w:t>
            </w:r>
          </w:p>
        </w:tc>
        <w:tc>
          <w:tcPr>
            <w:tcW w:w="3852" w:type="dxa"/>
            <w:gridSpan w:val="7"/>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rFonts w:hint="eastAsia" w:ascii="仿宋" w:hAnsi="仿宋" w:eastAsia="仿宋" w:cs="仿宋"/>
                <w:sz w:val="28"/>
                <w:szCs w:val="28"/>
              </w:rPr>
            </w:pPr>
            <w:r>
              <w:rPr>
                <w:rFonts w:hint="eastAsia" w:ascii="仿宋" w:hAnsi="仿宋" w:eastAsia="仿宋" w:cs="仿宋"/>
                <w:sz w:val="28"/>
                <w:szCs w:val="28"/>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jc w:val="center"/>
        </w:trPr>
        <w:tc>
          <w:tcPr>
            <w:tcW w:w="4080"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自然人</w:t>
            </w:r>
          </w:p>
        </w:tc>
        <w:tc>
          <w:tcPr>
            <w:tcW w:w="2508"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rFonts w:hint="eastAsia" w:ascii="仿宋" w:hAnsi="仿宋" w:eastAsia="仿宋" w:cs="仿宋"/>
                <w:sz w:val="28"/>
                <w:szCs w:val="28"/>
              </w:rPr>
            </w:pPr>
            <w:r>
              <w:rPr>
                <w:rFonts w:hint="eastAsia" w:ascii="仿宋" w:hAnsi="仿宋" w:eastAsia="仿宋" w:cs="仿宋"/>
                <w:sz w:val="28"/>
                <w:szCs w:val="28"/>
              </w:rPr>
              <w:t>法人或其他组织</w:t>
            </w:r>
          </w:p>
        </w:tc>
        <w:tc>
          <w:tcPr>
            <w:tcW w:w="684"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2" w:hRule="atLeast"/>
          <w:jc w:val="center"/>
        </w:trPr>
        <w:tc>
          <w:tcPr>
            <w:tcW w:w="4080"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rFonts w:hint="eastAsia" w:ascii="仿宋" w:hAnsi="仿宋" w:eastAsia="仿宋" w:cs="仿宋"/>
                <w:sz w:val="28"/>
                <w:szCs w:val="28"/>
              </w:rPr>
            </w:pPr>
            <w:r>
              <w:rPr>
                <w:rFonts w:hint="eastAsia" w:ascii="仿宋" w:hAnsi="仿宋" w:eastAsia="仿宋" w:cs="仿宋"/>
                <w:sz w:val="28"/>
                <w:szCs w:val="28"/>
              </w:rPr>
              <w:t>商业企业</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rFonts w:hint="eastAsia" w:ascii="仿宋" w:hAnsi="仿宋" w:eastAsia="仿宋" w:cs="仿宋"/>
                <w:sz w:val="28"/>
                <w:szCs w:val="28"/>
              </w:rPr>
            </w:pPr>
            <w:r>
              <w:rPr>
                <w:rFonts w:hint="eastAsia" w:ascii="仿宋" w:hAnsi="仿宋" w:eastAsia="仿宋" w:cs="仿宋"/>
                <w:sz w:val="28"/>
                <w:szCs w:val="28"/>
              </w:rPr>
              <w:t>科研机构</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rFonts w:hint="eastAsia" w:ascii="仿宋" w:hAnsi="仿宋" w:eastAsia="仿宋" w:cs="仿宋"/>
                <w:sz w:val="28"/>
                <w:szCs w:val="28"/>
              </w:rPr>
            </w:pPr>
            <w:r>
              <w:rPr>
                <w:rFonts w:hint="eastAsia" w:ascii="仿宋" w:hAnsi="仿宋" w:eastAsia="仿宋" w:cs="仿宋"/>
                <w:sz w:val="28"/>
                <w:szCs w:val="28"/>
              </w:rPr>
              <w:t>社会公益组织</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rFonts w:hint="eastAsia" w:ascii="仿宋" w:hAnsi="仿宋" w:eastAsia="仿宋" w:cs="仿宋"/>
                <w:sz w:val="28"/>
                <w:szCs w:val="28"/>
              </w:rPr>
            </w:pPr>
            <w:r>
              <w:rPr>
                <w:rFonts w:hint="eastAsia" w:ascii="仿宋" w:hAnsi="仿宋" w:eastAsia="仿宋" w:cs="仿宋"/>
                <w:sz w:val="28"/>
                <w:szCs w:val="28"/>
              </w:rPr>
              <w:t>法律服务机构</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rFonts w:hint="eastAsia" w:ascii="仿宋" w:hAnsi="仿宋" w:eastAsia="仿宋" w:cs="仿宋"/>
                <w:sz w:val="28"/>
                <w:szCs w:val="28"/>
              </w:rPr>
            </w:pPr>
            <w:r>
              <w:rPr>
                <w:rFonts w:hint="eastAsia" w:ascii="仿宋" w:hAnsi="仿宋" w:eastAsia="仿宋" w:cs="仿宋"/>
                <w:sz w:val="28"/>
                <w:szCs w:val="28"/>
              </w:rPr>
              <w:t>其他</w:t>
            </w:r>
          </w:p>
        </w:tc>
        <w:tc>
          <w:tcPr>
            <w:tcW w:w="684"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 w:hRule="atLeast"/>
          <w:jc w:val="center"/>
        </w:trPr>
        <w:tc>
          <w:tcPr>
            <w:tcW w:w="4080"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 w:hAnsi="仿宋" w:eastAsia="仿宋" w:cs="仿宋"/>
                <w:sz w:val="28"/>
                <w:szCs w:val="28"/>
              </w:rPr>
            </w:pPr>
            <w:r>
              <w:rPr>
                <w:rFonts w:hint="eastAsia" w:ascii="仿宋" w:hAnsi="仿宋" w:eastAsia="仿宋" w:cs="仿宋"/>
                <w:sz w:val="28"/>
                <w:szCs w:val="28"/>
              </w:rPr>
              <w:t>一、本年新收政府信息公开申请数量</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1</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 w:hRule="atLeast"/>
          <w:jc w:val="center"/>
        </w:trPr>
        <w:tc>
          <w:tcPr>
            <w:tcW w:w="4080"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 w:hAnsi="仿宋" w:eastAsia="仿宋" w:cs="仿宋"/>
                <w:sz w:val="28"/>
                <w:szCs w:val="28"/>
              </w:rPr>
            </w:pPr>
            <w:r>
              <w:rPr>
                <w:rFonts w:hint="eastAsia" w:ascii="仿宋" w:hAnsi="仿宋" w:eastAsia="仿宋" w:cs="仿宋"/>
                <w:sz w:val="28"/>
                <w:szCs w:val="28"/>
              </w:rPr>
              <w:t>二、上年结转政府信息公开申请数量</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3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rPr>
                <w:rFonts w:hint="eastAsia" w:ascii="仿宋" w:hAnsi="仿宋" w:eastAsia="仿宋" w:cs="仿宋"/>
                <w:sz w:val="28"/>
                <w:szCs w:val="28"/>
              </w:rPr>
            </w:pPr>
            <w:r>
              <w:rPr>
                <w:rFonts w:hint="eastAsia" w:ascii="仿宋" w:hAnsi="仿宋" w:eastAsia="仿宋" w:cs="仿宋"/>
                <w:sz w:val="28"/>
                <w:szCs w:val="28"/>
              </w:rPr>
              <w:t>三、本年度办理结果</w:t>
            </w:r>
          </w:p>
        </w:tc>
        <w:tc>
          <w:tcPr>
            <w:tcW w:w="374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 w:hAnsi="仿宋" w:eastAsia="仿宋" w:cs="仿宋"/>
                <w:sz w:val="28"/>
                <w:szCs w:val="28"/>
              </w:rPr>
            </w:pPr>
            <w:r>
              <w:rPr>
                <w:rFonts w:hint="eastAsia" w:ascii="仿宋" w:hAnsi="仿宋" w:eastAsia="仿宋" w:cs="仿宋"/>
                <w:sz w:val="28"/>
                <w:szCs w:val="28"/>
              </w:rPr>
              <w:t>（一）予以公开</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374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 w:hAnsi="仿宋" w:eastAsia="仿宋" w:cs="仿宋"/>
                <w:sz w:val="28"/>
                <w:szCs w:val="28"/>
              </w:rPr>
            </w:pPr>
            <w:r>
              <w:rPr>
                <w:rFonts w:hint="eastAsia" w:ascii="仿宋" w:hAnsi="仿宋" w:eastAsia="仿宋" w:cs="仿宋"/>
                <w:sz w:val="28"/>
                <w:szCs w:val="28"/>
              </w:rPr>
              <w:t>（二）部分公开（区分处理的，只计这一情形，不计其他情形）</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rFonts w:hint="eastAsia" w:ascii="仿宋" w:hAnsi="仿宋" w:eastAsia="仿宋" w:cs="仿宋"/>
                <w:sz w:val="28"/>
                <w:szCs w:val="28"/>
              </w:rPr>
            </w:pPr>
            <w:r>
              <w:rPr>
                <w:rFonts w:hint="eastAsia" w:ascii="仿宋" w:hAnsi="仿宋" w:eastAsia="仿宋" w:cs="仿宋"/>
                <w:sz w:val="28"/>
                <w:szCs w:val="28"/>
              </w:rPr>
              <w:t>（三）不予公开</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rFonts w:hint="eastAsia" w:ascii="仿宋" w:hAnsi="仿宋" w:eastAsia="仿宋" w:cs="仿宋"/>
                <w:sz w:val="28"/>
                <w:szCs w:val="28"/>
              </w:rPr>
            </w:pPr>
            <w:r>
              <w:rPr>
                <w:rFonts w:hint="eastAsia" w:ascii="仿宋" w:hAnsi="仿宋" w:eastAsia="仿宋" w:cs="仿宋"/>
                <w:sz w:val="28"/>
                <w:szCs w:val="28"/>
              </w:rPr>
              <w:t>1.属于国家秘密</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rFonts w:hint="eastAsia" w:ascii="仿宋" w:hAnsi="仿宋" w:eastAsia="仿宋" w:cs="仿宋"/>
                <w:sz w:val="28"/>
                <w:szCs w:val="28"/>
              </w:rPr>
            </w:pPr>
            <w:r>
              <w:rPr>
                <w:rFonts w:hint="eastAsia" w:ascii="仿宋" w:hAnsi="仿宋" w:eastAsia="仿宋" w:cs="仿宋"/>
                <w:sz w:val="28"/>
                <w:szCs w:val="28"/>
              </w:rPr>
              <w:t>2.其他法律行政法规禁止公开</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rFonts w:hint="eastAsia" w:ascii="仿宋" w:hAnsi="仿宋" w:eastAsia="仿宋" w:cs="仿宋"/>
                <w:sz w:val="28"/>
                <w:szCs w:val="28"/>
              </w:rPr>
            </w:pPr>
            <w:r>
              <w:rPr>
                <w:rFonts w:hint="eastAsia" w:ascii="仿宋" w:hAnsi="仿宋" w:eastAsia="仿宋" w:cs="仿宋"/>
                <w:sz w:val="28"/>
                <w:szCs w:val="28"/>
              </w:rPr>
              <w:t>3.危及“三安全一稳定”</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rFonts w:hint="eastAsia" w:ascii="仿宋" w:hAnsi="仿宋" w:eastAsia="仿宋" w:cs="仿宋"/>
                <w:sz w:val="28"/>
                <w:szCs w:val="28"/>
              </w:rPr>
            </w:pPr>
            <w:r>
              <w:rPr>
                <w:rFonts w:hint="eastAsia" w:ascii="仿宋" w:hAnsi="仿宋" w:eastAsia="仿宋" w:cs="仿宋"/>
                <w:sz w:val="28"/>
                <w:szCs w:val="28"/>
              </w:rPr>
              <w:t>4.保护第三方合法权益</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rFonts w:hint="eastAsia" w:ascii="仿宋" w:hAnsi="仿宋" w:eastAsia="仿宋" w:cs="仿宋"/>
                <w:sz w:val="28"/>
                <w:szCs w:val="28"/>
              </w:rPr>
            </w:pPr>
            <w:r>
              <w:rPr>
                <w:rFonts w:hint="eastAsia" w:ascii="仿宋" w:hAnsi="仿宋" w:eastAsia="仿宋" w:cs="仿宋"/>
                <w:sz w:val="28"/>
                <w:szCs w:val="28"/>
              </w:rPr>
              <w:t>5.属于三类内部事务信息</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rFonts w:hint="eastAsia" w:ascii="仿宋" w:hAnsi="仿宋" w:eastAsia="仿宋" w:cs="仿宋"/>
                <w:sz w:val="28"/>
                <w:szCs w:val="28"/>
              </w:rPr>
            </w:pPr>
            <w:r>
              <w:rPr>
                <w:rFonts w:hint="eastAsia" w:ascii="仿宋" w:hAnsi="仿宋" w:eastAsia="仿宋" w:cs="仿宋"/>
                <w:sz w:val="28"/>
                <w:szCs w:val="28"/>
              </w:rPr>
              <w:t>6.属于四类过程性信息</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rFonts w:hint="eastAsia" w:ascii="仿宋" w:hAnsi="仿宋" w:eastAsia="仿宋" w:cs="仿宋"/>
                <w:sz w:val="28"/>
                <w:szCs w:val="28"/>
              </w:rPr>
            </w:pPr>
            <w:r>
              <w:rPr>
                <w:rFonts w:hint="eastAsia" w:ascii="仿宋" w:hAnsi="仿宋" w:eastAsia="仿宋" w:cs="仿宋"/>
                <w:sz w:val="28"/>
                <w:szCs w:val="28"/>
              </w:rPr>
              <w:t>7.属于行政执法案卷</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rFonts w:hint="eastAsia" w:ascii="仿宋" w:hAnsi="仿宋" w:eastAsia="仿宋" w:cs="仿宋"/>
                <w:sz w:val="28"/>
                <w:szCs w:val="28"/>
              </w:rPr>
            </w:pPr>
            <w:r>
              <w:rPr>
                <w:rFonts w:hint="eastAsia" w:ascii="仿宋" w:hAnsi="仿宋" w:eastAsia="仿宋" w:cs="仿宋"/>
                <w:sz w:val="28"/>
                <w:szCs w:val="28"/>
              </w:rPr>
              <w:t>8.属于行政查询事项</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rFonts w:hint="eastAsia" w:ascii="仿宋" w:hAnsi="仿宋" w:eastAsia="仿宋" w:cs="仿宋"/>
                <w:sz w:val="28"/>
                <w:szCs w:val="28"/>
              </w:rPr>
            </w:pPr>
            <w:r>
              <w:rPr>
                <w:rFonts w:hint="eastAsia" w:ascii="仿宋" w:hAnsi="仿宋" w:eastAsia="仿宋" w:cs="仿宋"/>
                <w:sz w:val="28"/>
                <w:szCs w:val="28"/>
              </w:rPr>
              <w:t>（四）无法提供</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rFonts w:hint="eastAsia" w:ascii="仿宋" w:hAnsi="仿宋" w:eastAsia="仿宋" w:cs="仿宋"/>
                <w:sz w:val="28"/>
                <w:szCs w:val="28"/>
              </w:rPr>
            </w:pPr>
            <w:r>
              <w:rPr>
                <w:rFonts w:hint="eastAsia" w:ascii="仿宋" w:hAnsi="仿宋" w:eastAsia="仿宋" w:cs="仿宋"/>
                <w:sz w:val="28"/>
                <w:szCs w:val="28"/>
              </w:rPr>
              <w:t>1.本机关不掌握相关政府信息</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rFonts w:hint="eastAsia" w:ascii="仿宋" w:hAnsi="仿宋" w:eastAsia="仿宋" w:cs="仿宋"/>
                <w:sz w:val="28"/>
                <w:szCs w:val="28"/>
              </w:rPr>
            </w:pPr>
            <w:r>
              <w:rPr>
                <w:rFonts w:hint="eastAsia" w:ascii="仿宋" w:hAnsi="仿宋" w:eastAsia="仿宋" w:cs="仿宋"/>
                <w:sz w:val="28"/>
                <w:szCs w:val="28"/>
              </w:rPr>
              <w:t>1</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rFonts w:hint="eastAsia" w:ascii="仿宋" w:hAnsi="仿宋" w:eastAsia="仿宋" w:cs="仿宋"/>
                <w:sz w:val="28"/>
                <w:szCs w:val="28"/>
              </w:rPr>
            </w:pPr>
            <w:r>
              <w:rPr>
                <w:rFonts w:hint="eastAsia" w:ascii="仿宋" w:hAnsi="仿宋" w:eastAsia="仿宋" w:cs="仿宋"/>
                <w:sz w:val="28"/>
                <w:szCs w:val="28"/>
              </w:rPr>
              <w:t>2.没有现成信息需要另行制作</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rFonts w:hint="eastAsia" w:ascii="仿宋" w:hAnsi="仿宋" w:eastAsia="仿宋" w:cs="仿宋"/>
                <w:sz w:val="28"/>
                <w:szCs w:val="28"/>
              </w:rPr>
            </w:pPr>
            <w:r>
              <w:rPr>
                <w:rFonts w:hint="eastAsia" w:ascii="仿宋" w:hAnsi="仿宋" w:eastAsia="仿宋" w:cs="仿宋"/>
                <w:sz w:val="28"/>
                <w:szCs w:val="28"/>
              </w:rPr>
              <w:t>3.补正后申请内容仍不明确</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rFonts w:hint="eastAsia" w:ascii="仿宋" w:hAnsi="仿宋" w:eastAsia="仿宋" w:cs="仿宋"/>
                <w:sz w:val="28"/>
                <w:szCs w:val="28"/>
              </w:rPr>
            </w:pPr>
            <w:r>
              <w:rPr>
                <w:rFonts w:hint="eastAsia" w:ascii="仿宋" w:hAnsi="仿宋" w:eastAsia="仿宋" w:cs="仿宋"/>
                <w:sz w:val="28"/>
                <w:szCs w:val="28"/>
              </w:rPr>
              <w:t>（五）不予处理</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rFonts w:hint="eastAsia" w:ascii="仿宋" w:hAnsi="仿宋" w:eastAsia="仿宋" w:cs="仿宋"/>
                <w:sz w:val="28"/>
                <w:szCs w:val="28"/>
              </w:rPr>
            </w:pPr>
            <w:r>
              <w:rPr>
                <w:rFonts w:hint="eastAsia" w:ascii="仿宋" w:hAnsi="仿宋" w:eastAsia="仿宋" w:cs="仿宋"/>
                <w:sz w:val="28"/>
                <w:szCs w:val="28"/>
              </w:rPr>
              <w:t>1.信访举报投诉类申请</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rFonts w:hint="eastAsia" w:ascii="仿宋" w:hAnsi="仿宋" w:eastAsia="仿宋" w:cs="仿宋"/>
                <w:sz w:val="28"/>
                <w:szCs w:val="28"/>
              </w:rPr>
            </w:pPr>
            <w:r>
              <w:rPr>
                <w:rFonts w:hint="eastAsia" w:ascii="仿宋" w:hAnsi="仿宋" w:eastAsia="仿宋" w:cs="仿宋"/>
                <w:sz w:val="28"/>
                <w:szCs w:val="28"/>
              </w:rPr>
              <w:t>2.重复申请</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rFonts w:hint="eastAsia" w:ascii="仿宋" w:hAnsi="仿宋" w:eastAsia="仿宋" w:cs="仿宋"/>
                <w:sz w:val="28"/>
                <w:szCs w:val="28"/>
              </w:rPr>
            </w:pPr>
            <w:r>
              <w:rPr>
                <w:rFonts w:hint="eastAsia" w:ascii="仿宋" w:hAnsi="仿宋" w:eastAsia="仿宋" w:cs="仿宋"/>
                <w:sz w:val="28"/>
                <w:szCs w:val="28"/>
              </w:rPr>
              <w:t>3.要求提供公开出版物</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2"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rFonts w:hint="eastAsia" w:ascii="仿宋" w:hAnsi="仿宋" w:eastAsia="仿宋" w:cs="仿宋"/>
                <w:sz w:val="28"/>
                <w:szCs w:val="28"/>
              </w:rPr>
            </w:pPr>
            <w:r>
              <w:rPr>
                <w:rFonts w:hint="eastAsia" w:ascii="仿宋" w:hAnsi="仿宋" w:eastAsia="仿宋" w:cs="仿宋"/>
                <w:sz w:val="28"/>
                <w:szCs w:val="28"/>
              </w:rPr>
              <w:t>4.无正当理由大量反复申请</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 w:hAnsi="仿宋" w:eastAsia="仿宋" w:cs="仿宋"/>
                <w:sz w:val="28"/>
                <w:szCs w:val="28"/>
              </w:rPr>
            </w:pPr>
            <w:r>
              <w:rPr>
                <w:rFonts w:hint="eastAsia" w:ascii="仿宋" w:hAnsi="仿宋" w:eastAsia="仿宋" w:cs="仿宋"/>
                <w:sz w:val="28"/>
                <w:szCs w:val="28"/>
              </w:rPr>
              <w:t>5.要求行政机关确认或重新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68"/>
              <w:rPr>
                <w:rFonts w:hint="eastAsia" w:ascii="仿宋" w:hAnsi="仿宋" w:eastAsia="仿宋" w:cs="仿宋"/>
                <w:sz w:val="28"/>
                <w:szCs w:val="28"/>
              </w:rPr>
            </w:pPr>
            <w:r>
              <w:rPr>
                <w:rFonts w:hint="eastAsia" w:ascii="仿宋" w:hAnsi="仿宋" w:eastAsia="仿宋" w:cs="仿宋"/>
                <w:sz w:val="28"/>
                <w:szCs w:val="28"/>
              </w:rPr>
              <w:t>出具已获取信息</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 w:hAnsi="仿宋" w:eastAsia="仿宋" w:cs="仿宋"/>
                <w:sz w:val="28"/>
                <w:szCs w:val="28"/>
              </w:rPr>
            </w:pPr>
            <w:r>
              <w:rPr>
                <w:rFonts w:hint="eastAsia" w:ascii="仿宋" w:hAnsi="仿宋" w:eastAsia="仿宋" w:cs="仿宋"/>
                <w:sz w:val="28"/>
                <w:szCs w:val="28"/>
              </w:rPr>
              <w:t>（六）其他处理</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 w:hAnsi="仿宋" w:eastAsia="仿宋" w:cs="仿宋"/>
                <w:sz w:val="28"/>
                <w:szCs w:val="28"/>
              </w:rPr>
            </w:pPr>
            <w:r>
              <w:rPr>
                <w:rFonts w:hint="eastAsia" w:ascii="仿宋" w:hAnsi="仿宋" w:eastAsia="仿宋" w:cs="仿宋"/>
                <w:sz w:val="28"/>
                <w:szCs w:val="28"/>
              </w:rPr>
              <w:t>1.申请人无正当理由逾期不补正、行政机关不再处理其政府信息公开申请</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 w:hAnsi="仿宋" w:eastAsia="仿宋" w:cs="仿宋"/>
                <w:sz w:val="28"/>
                <w:szCs w:val="28"/>
              </w:rPr>
            </w:pPr>
            <w:r>
              <w:rPr>
                <w:rFonts w:hint="eastAsia" w:ascii="仿宋" w:hAnsi="仿宋" w:eastAsia="仿宋" w:cs="仿宋"/>
                <w:sz w:val="28"/>
                <w:szCs w:val="28"/>
              </w:rPr>
              <w:t>2.申请人逾期未按收费通知要求缴纳费用、行政机关不再处理其政府信息公开申请</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 w:hAnsi="仿宋" w:eastAsia="仿宋" w:cs="仿宋"/>
                <w:sz w:val="28"/>
                <w:szCs w:val="28"/>
              </w:rPr>
            </w:pPr>
            <w:r>
              <w:rPr>
                <w:rFonts w:hint="eastAsia" w:ascii="仿宋" w:hAnsi="仿宋" w:eastAsia="仿宋" w:cs="仿宋"/>
                <w:sz w:val="28"/>
                <w:szCs w:val="28"/>
              </w:rPr>
              <w:t>3.其他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374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 w:hAnsi="仿宋" w:eastAsia="仿宋" w:cs="仿宋"/>
                <w:sz w:val="28"/>
                <w:szCs w:val="28"/>
              </w:rPr>
            </w:pPr>
            <w:r>
              <w:rPr>
                <w:rFonts w:hint="eastAsia" w:ascii="仿宋" w:hAnsi="仿宋" w:eastAsia="仿宋" w:cs="仿宋"/>
                <w:sz w:val="28"/>
                <w:szCs w:val="28"/>
              </w:rPr>
              <w:t>（七）总计</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rFonts w:hint="eastAsia" w:ascii="仿宋" w:hAnsi="仿宋" w:eastAsia="仿宋" w:cs="仿宋"/>
                <w:sz w:val="28"/>
                <w:szCs w:val="28"/>
              </w:rPr>
            </w:pPr>
            <w:r>
              <w:rPr>
                <w:rFonts w:hint="eastAsia" w:ascii="仿宋" w:hAnsi="仿宋" w:eastAsia="仿宋" w:cs="仿宋"/>
                <w:sz w:val="28"/>
                <w:szCs w:val="28"/>
              </w:rPr>
              <w:t>1</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080"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仿宋" w:hAnsi="仿宋" w:eastAsia="仿宋" w:cs="仿宋"/>
                <w:sz w:val="28"/>
                <w:szCs w:val="28"/>
              </w:rPr>
            </w:pPr>
            <w:r>
              <w:rPr>
                <w:rFonts w:hint="eastAsia" w:ascii="仿宋" w:hAnsi="仿宋" w:eastAsia="仿宋" w:cs="仿宋"/>
                <w:sz w:val="28"/>
                <w:szCs w:val="28"/>
              </w:rPr>
              <w:t>四、结转下年度继续办理</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r>
    </w:tbl>
    <w:p>
      <w:pPr>
        <w:pStyle w:val="2"/>
        <w:keepNext w:val="0"/>
        <w:keepLines w:val="0"/>
        <w:widowControl/>
        <w:suppressLineNumbers w:val="0"/>
        <w:spacing w:before="0" w:beforeAutospacing="0" w:after="0" w:afterAutospacing="0" w:line="480" w:lineRule="atLeast"/>
        <w:ind w:left="0" w:right="0" w:firstLine="516"/>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333333"/>
          <w:spacing w:val="0"/>
          <w:sz w:val="28"/>
          <w:szCs w:val="28"/>
        </w:rPr>
        <w:t> </w:t>
      </w:r>
    </w:p>
    <w:p>
      <w:pPr>
        <w:pStyle w:val="2"/>
        <w:keepNext w:val="0"/>
        <w:keepLines w:val="0"/>
        <w:widowControl/>
        <w:suppressLineNumbers w:val="0"/>
        <w:spacing w:before="0" w:beforeAutospacing="0" w:after="0" w:afterAutospacing="0" w:line="480" w:lineRule="atLeast"/>
        <w:ind w:left="0" w:right="0" w:firstLine="516"/>
        <w:jc w:val="both"/>
        <w:rPr>
          <w:rFonts w:hint="eastAsia" w:ascii="黑体" w:hAnsi="黑体" w:eastAsia="黑体" w:cs="黑体"/>
          <w:i w:val="0"/>
          <w:iCs w:val="0"/>
          <w:caps w:val="0"/>
          <w:color w:val="000000"/>
          <w:spacing w:val="0"/>
          <w:sz w:val="28"/>
          <w:szCs w:val="28"/>
        </w:rPr>
      </w:pPr>
      <w:r>
        <w:rPr>
          <w:rFonts w:hint="eastAsia" w:ascii="黑体" w:hAnsi="黑体" w:eastAsia="黑体" w:cs="黑体"/>
          <w:i w:val="0"/>
          <w:iCs w:val="0"/>
          <w:caps w:val="0"/>
          <w:color w:val="333333"/>
          <w:spacing w:val="0"/>
          <w:sz w:val="28"/>
          <w:szCs w:val="28"/>
        </w:rPr>
        <w:t>四、政府信息公开行政复议、行政诉讼情况</w:t>
      </w:r>
    </w:p>
    <w:p>
      <w:pPr>
        <w:pStyle w:val="2"/>
        <w:keepNext w:val="0"/>
        <w:keepLines w:val="0"/>
        <w:widowControl/>
        <w:suppressLineNumbers w:val="0"/>
        <w:spacing w:before="0" w:beforeAutospacing="0" w:after="0" w:afterAutospacing="0" w:line="480" w:lineRule="atLeast"/>
        <w:ind w:left="0" w:right="0" w:firstLine="384"/>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w:t>
      </w:r>
    </w:p>
    <w:tbl>
      <w:tblPr>
        <w:tblStyle w:val="3"/>
        <w:tblW w:w="72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79"/>
        <w:gridCol w:w="479"/>
        <w:gridCol w:w="479"/>
        <w:gridCol w:w="480"/>
        <w:gridCol w:w="539"/>
        <w:gridCol w:w="448"/>
        <w:gridCol w:w="480"/>
        <w:gridCol w:w="480"/>
        <w:gridCol w:w="480"/>
        <w:gridCol w:w="492"/>
        <w:gridCol w:w="480"/>
        <w:gridCol w:w="480"/>
        <w:gridCol w:w="480"/>
        <w:gridCol w:w="480"/>
        <w:gridCol w:w="5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6" w:hRule="atLeast"/>
          <w:jc w:val="center"/>
        </w:trPr>
        <w:tc>
          <w:tcPr>
            <w:tcW w:w="2460"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行政复议</w:t>
            </w:r>
          </w:p>
        </w:tc>
        <w:tc>
          <w:tcPr>
            <w:tcW w:w="4800" w:type="dxa"/>
            <w:gridSpan w:val="10"/>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2" w:hRule="atLeast"/>
          <w:jc w:val="center"/>
        </w:trPr>
        <w:tc>
          <w:tcPr>
            <w:tcW w:w="480"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维持</w:t>
            </w:r>
          </w:p>
        </w:tc>
        <w:tc>
          <w:tcPr>
            <w:tcW w:w="480"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结果纠正</w:t>
            </w:r>
          </w:p>
        </w:tc>
        <w:tc>
          <w:tcPr>
            <w:tcW w:w="480" w:type="dxa"/>
            <w:vMerge w:val="restar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其他结果</w:t>
            </w:r>
          </w:p>
        </w:tc>
        <w:tc>
          <w:tcPr>
            <w:tcW w:w="480" w:type="dxa"/>
            <w:vMerge w:val="restar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审结</w:t>
            </w:r>
          </w:p>
        </w:tc>
        <w:tc>
          <w:tcPr>
            <w:tcW w:w="528" w:type="dxa"/>
            <w:vMerge w:val="restar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rFonts w:hint="eastAsia" w:ascii="仿宋" w:hAnsi="仿宋" w:eastAsia="仿宋" w:cs="仿宋"/>
                <w:sz w:val="28"/>
                <w:szCs w:val="28"/>
              </w:rPr>
            </w:pPr>
            <w:r>
              <w:rPr>
                <w:rFonts w:hint="eastAsia" w:ascii="仿宋" w:hAnsi="仿宋" w:eastAsia="仿宋" w:cs="仿宋"/>
                <w:sz w:val="28"/>
                <w:szCs w:val="28"/>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rFonts w:hint="eastAsia" w:ascii="仿宋" w:hAnsi="仿宋" w:eastAsia="仿宋" w:cs="仿宋"/>
                <w:sz w:val="28"/>
                <w:szCs w:val="28"/>
              </w:rPr>
            </w:pPr>
            <w:r>
              <w:rPr>
                <w:rFonts w:hint="eastAsia" w:ascii="仿宋" w:hAnsi="仿宋" w:eastAsia="仿宋" w:cs="仿宋"/>
                <w:sz w:val="28"/>
                <w:szCs w:val="28"/>
              </w:rPr>
              <w:t>计</w:t>
            </w:r>
          </w:p>
        </w:tc>
        <w:tc>
          <w:tcPr>
            <w:tcW w:w="2376" w:type="dxa"/>
            <w:gridSpan w:val="5"/>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未经复议直接起诉</w:t>
            </w:r>
          </w:p>
        </w:tc>
        <w:tc>
          <w:tcPr>
            <w:tcW w:w="2424" w:type="dxa"/>
            <w:gridSpan w:val="5"/>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0" w:hRule="atLeast"/>
          <w:jc w:val="center"/>
        </w:trPr>
        <w:tc>
          <w:tcPr>
            <w:tcW w:w="48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480"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480" w:type="dxa"/>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480" w:type="dxa"/>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528" w:type="dxa"/>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仿宋" w:hAnsi="仿宋" w:eastAsia="仿宋" w:cs="仿宋"/>
                <w:sz w:val="28"/>
                <w:szCs w:val="28"/>
              </w:rPr>
            </w:pPr>
          </w:p>
        </w:tc>
        <w:tc>
          <w:tcPr>
            <w:tcW w:w="44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结果维持</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结果纠正</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结果</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审结</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总计</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结果维持</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纠正</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结果</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尚未审结</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80"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5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4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rPr>
                <w:rFonts w:hint="eastAsia" w:ascii="仿宋" w:hAnsi="仿宋" w:eastAsia="仿宋" w:cs="仿宋"/>
                <w:sz w:val="28"/>
                <w:szCs w:val="28"/>
              </w:rPr>
            </w:pPr>
            <w:r>
              <w:rPr>
                <w:rFonts w:hint="eastAsia" w:ascii="仿宋" w:hAnsi="仿宋" w:eastAsia="仿宋" w:cs="仿宋"/>
                <w:sz w:val="28"/>
                <w:szCs w:val="28"/>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420" w:lineRule="atLeast"/>
              <w:ind w:left="0" w:right="0"/>
              <w:jc w:val="center"/>
              <w:rPr>
                <w:rFonts w:hint="eastAsia" w:ascii="仿宋" w:hAnsi="仿宋" w:eastAsia="仿宋" w:cs="仿宋"/>
                <w:sz w:val="28"/>
                <w:szCs w:val="28"/>
              </w:rPr>
            </w:pPr>
            <w:r>
              <w:rPr>
                <w:rFonts w:hint="eastAsia" w:ascii="仿宋" w:hAnsi="仿宋" w:eastAsia="仿宋" w:cs="仿宋"/>
                <w:sz w:val="28"/>
                <w:szCs w:val="28"/>
              </w:rPr>
              <w:t>0</w:t>
            </w:r>
          </w:p>
        </w:tc>
      </w:tr>
    </w:tbl>
    <w:p>
      <w:pPr>
        <w:pStyle w:val="2"/>
        <w:keepNext w:val="0"/>
        <w:keepLines w:val="0"/>
        <w:widowControl/>
        <w:suppressLineNumbers w:val="0"/>
        <w:spacing w:before="0" w:beforeAutospacing="0" w:after="0" w:afterAutospacing="0" w:line="480" w:lineRule="atLeast"/>
        <w:ind w:left="0" w:right="0" w:firstLine="516"/>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333333"/>
          <w:spacing w:val="0"/>
          <w:sz w:val="28"/>
          <w:szCs w:val="28"/>
        </w:rPr>
        <w:t>五、存在的主要问题及改进情况</w:t>
      </w:r>
    </w:p>
    <w:p>
      <w:pPr>
        <w:pStyle w:val="2"/>
        <w:keepNext w:val="0"/>
        <w:keepLines w:val="0"/>
        <w:widowControl/>
        <w:suppressLineNumbers w:val="0"/>
        <w:spacing w:before="0" w:beforeAutospacing="0" w:after="0" w:afterAutospacing="0" w:line="420" w:lineRule="atLeast"/>
        <w:ind w:left="0" w:right="0" w:firstLine="516"/>
        <w:rPr>
          <w:rFonts w:hint="eastAsia" w:ascii="黑体" w:hAnsi="黑体" w:eastAsia="黑体" w:cs="黑体"/>
          <w:i w:val="0"/>
          <w:iCs w:val="0"/>
          <w:caps w:val="0"/>
          <w:color w:val="000000"/>
          <w:spacing w:val="0"/>
          <w:sz w:val="28"/>
          <w:szCs w:val="28"/>
        </w:rPr>
      </w:pPr>
      <w:r>
        <w:rPr>
          <w:rFonts w:hint="eastAsia" w:ascii="黑体" w:hAnsi="黑体" w:eastAsia="黑体" w:cs="黑体"/>
          <w:i w:val="0"/>
          <w:iCs w:val="0"/>
          <w:caps w:val="0"/>
          <w:color w:val="000000"/>
          <w:spacing w:val="0"/>
          <w:sz w:val="28"/>
          <w:szCs w:val="28"/>
        </w:rPr>
        <w:t>（一）2021年工作存在的问题与不足</w:t>
      </w:r>
    </w:p>
    <w:p>
      <w:pPr>
        <w:pStyle w:val="2"/>
        <w:keepNext w:val="0"/>
        <w:keepLines w:val="0"/>
        <w:widowControl/>
        <w:suppressLineNumbers w:val="0"/>
        <w:spacing w:before="0" w:beforeAutospacing="0" w:after="0" w:afterAutospacing="0" w:line="420" w:lineRule="atLeast"/>
        <w:ind w:left="0" w:right="0" w:firstLine="516"/>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2021年市应急局进一步加大开放力度，全方位公开政府信息，公开工作有了较大提升，取得较大成效，但还存在内部科室公开工作业务水平待提高的问题。</w:t>
      </w:r>
    </w:p>
    <w:p>
      <w:pPr>
        <w:pStyle w:val="2"/>
        <w:keepNext w:val="0"/>
        <w:keepLines w:val="0"/>
        <w:widowControl/>
        <w:suppressLineNumbers w:val="0"/>
        <w:spacing w:before="0" w:beforeAutospacing="0" w:after="0" w:afterAutospacing="0" w:line="420" w:lineRule="atLeast"/>
        <w:ind w:left="0" w:right="0" w:firstLine="516"/>
        <w:rPr>
          <w:rFonts w:hint="eastAsia" w:ascii="黑体" w:hAnsi="黑体" w:eastAsia="黑体" w:cs="黑体"/>
          <w:i w:val="0"/>
          <w:iCs w:val="0"/>
          <w:caps w:val="0"/>
          <w:color w:val="000000"/>
          <w:spacing w:val="0"/>
          <w:sz w:val="28"/>
          <w:szCs w:val="28"/>
        </w:rPr>
      </w:pPr>
      <w:r>
        <w:rPr>
          <w:rFonts w:hint="eastAsia" w:ascii="黑体" w:hAnsi="黑体" w:eastAsia="黑体" w:cs="黑体"/>
          <w:i w:val="0"/>
          <w:iCs w:val="0"/>
          <w:caps w:val="0"/>
          <w:color w:val="000000"/>
          <w:spacing w:val="0"/>
          <w:sz w:val="28"/>
          <w:szCs w:val="28"/>
        </w:rPr>
        <w:t>（二）今后改进措施</w:t>
      </w:r>
    </w:p>
    <w:p>
      <w:pPr>
        <w:pStyle w:val="2"/>
        <w:keepNext w:val="0"/>
        <w:keepLines w:val="0"/>
        <w:widowControl/>
        <w:suppressLineNumbers w:val="0"/>
        <w:spacing w:before="0" w:beforeAutospacing="0" w:after="0" w:afterAutospacing="0" w:line="480" w:lineRule="atLeast"/>
        <w:ind w:left="0" w:right="0" w:firstLine="516"/>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2022年，市应急局将持续做好政府信息公开工作，一是对标省应急厅，重点关注安全生产、应急管理和防灾减灾等领域信息公开工作，进一步提升行业领域信息公开工作水平。二是对标先进单位，全面厘清政府公开工作目录，严格按照主动公开目录公开相关信息，同时做好依申请公开信息收集回复等工作。三是加大培训力度，进一步提升各科室、局属事业单位人员对公开工作的认识程度，全方位提升政务公开工作水平。</w:t>
      </w:r>
    </w:p>
    <w:p>
      <w:pPr>
        <w:pStyle w:val="2"/>
        <w:keepNext w:val="0"/>
        <w:keepLines w:val="0"/>
        <w:widowControl/>
        <w:suppressLineNumbers w:val="0"/>
        <w:spacing w:before="0" w:beforeAutospacing="0" w:after="0" w:afterAutospacing="0" w:line="480" w:lineRule="atLeast"/>
        <w:ind w:left="0" w:right="0" w:firstLine="516"/>
        <w:jc w:val="both"/>
        <w:rPr>
          <w:rFonts w:hint="eastAsia" w:ascii="黑体" w:hAnsi="黑体" w:eastAsia="黑体" w:cs="黑体"/>
          <w:i w:val="0"/>
          <w:iCs w:val="0"/>
          <w:caps w:val="0"/>
          <w:color w:val="000000"/>
          <w:spacing w:val="0"/>
          <w:sz w:val="28"/>
          <w:szCs w:val="28"/>
        </w:rPr>
      </w:pPr>
      <w:r>
        <w:rPr>
          <w:rFonts w:hint="eastAsia" w:ascii="黑体" w:hAnsi="黑体" w:eastAsia="黑体" w:cs="黑体"/>
          <w:i w:val="0"/>
          <w:iCs w:val="0"/>
          <w:caps w:val="0"/>
          <w:color w:val="333333"/>
          <w:spacing w:val="0"/>
          <w:sz w:val="28"/>
          <w:szCs w:val="28"/>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atLeast"/>
        <w:ind w:left="0" w:right="0" w:firstLine="516"/>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333333"/>
          <w:spacing w:val="0"/>
          <w:sz w:val="28"/>
          <w:szCs w:val="28"/>
        </w:rPr>
        <w:t>2021年度未发出政府信息公开信息处理费通知书，无收取信息处理费情况。</w:t>
      </w:r>
      <w:r>
        <w:rPr>
          <w:rFonts w:hint="eastAsia" w:ascii="仿宋" w:hAnsi="仿宋" w:eastAsia="仿宋" w:cs="仿宋"/>
          <w:i w:val="0"/>
          <w:iCs w:val="0"/>
          <w:caps w:val="0"/>
          <w:color w:val="000000"/>
          <w:spacing w:val="0"/>
          <w:sz w:val="28"/>
          <w:szCs w:val="28"/>
        </w:rPr>
        <w:t>2021年市应急局不断提升政务公开工作水平，</w:t>
      </w:r>
      <w:r>
        <w:rPr>
          <w:rStyle w:val="5"/>
          <w:rFonts w:hint="eastAsia" w:ascii="仿宋" w:hAnsi="仿宋" w:eastAsia="仿宋" w:cs="仿宋"/>
          <w:i w:val="0"/>
          <w:iCs w:val="0"/>
          <w:caps w:val="0"/>
          <w:color w:val="000000"/>
          <w:spacing w:val="0"/>
          <w:sz w:val="28"/>
          <w:szCs w:val="28"/>
        </w:rPr>
        <w:t>一是</w:t>
      </w:r>
      <w:r>
        <w:rPr>
          <w:rFonts w:hint="eastAsia" w:ascii="仿宋" w:hAnsi="仿宋" w:eastAsia="仿宋" w:cs="仿宋"/>
          <w:i w:val="0"/>
          <w:iCs w:val="0"/>
          <w:caps w:val="0"/>
          <w:color w:val="000000"/>
          <w:spacing w:val="0"/>
          <w:sz w:val="28"/>
          <w:szCs w:val="28"/>
        </w:rPr>
        <w:t>扎实开展“政府开放日”活动，全年共组织5.12防灾宣传、防汛宣传、安全生产宣传等三次政府开放日活动，邀请企业、市民、学生代表零距离接触应急管理、安全生产和防灾减灾救灾相关工作。</w:t>
      </w:r>
      <w:r>
        <w:rPr>
          <w:rStyle w:val="5"/>
          <w:rFonts w:hint="eastAsia" w:ascii="仿宋" w:hAnsi="仿宋" w:eastAsia="仿宋" w:cs="仿宋"/>
          <w:i w:val="0"/>
          <w:iCs w:val="0"/>
          <w:caps w:val="0"/>
          <w:color w:val="000000"/>
          <w:spacing w:val="0"/>
          <w:sz w:val="28"/>
          <w:szCs w:val="28"/>
        </w:rPr>
        <w:t>二是</w:t>
      </w:r>
      <w:r>
        <w:rPr>
          <w:rFonts w:hint="eastAsia" w:ascii="仿宋" w:hAnsi="仿宋" w:eastAsia="仿宋" w:cs="仿宋"/>
          <w:i w:val="0"/>
          <w:iCs w:val="0"/>
          <w:caps w:val="0"/>
          <w:color w:val="000000"/>
          <w:spacing w:val="0"/>
          <w:sz w:val="28"/>
          <w:szCs w:val="28"/>
        </w:rPr>
        <w:t>按照省应急管理厅《关于印发&lt;山东省应急管理厅全面推进安全生产和救灾领域基层政务公开标准化规范化工作实施方案&gt;的通知》，对照“安全生产领域基层政务公开标准目录”，主动公开政策文件信息、日常监管信息、事故案例信息、备灾管理、灾后救助等信息。</w:t>
      </w:r>
      <w:r>
        <w:rPr>
          <w:rStyle w:val="5"/>
          <w:rFonts w:hint="eastAsia" w:ascii="仿宋" w:hAnsi="仿宋" w:eastAsia="仿宋" w:cs="仿宋"/>
          <w:i w:val="0"/>
          <w:iCs w:val="0"/>
          <w:caps w:val="0"/>
          <w:color w:val="000000"/>
          <w:spacing w:val="0"/>
          <w:sz w:val="28"/>
          <w:szCs w:val="28"/>
        </w:rPr>
        <w:t>三是</w:t>
      </w:r>
      <w:r>
        <w:rPr>
          <w:rFonts w:hint="eastAsia" w:ascii="仿宋" w:hAnsi="仿宋" w:eastAsia="仿宋" w:cs="仿宋"/>
          <w:i w:val="0"/>
          <w:iCs w:val="0"/>
          <w:caps w:val="0"/>
          <w:color w:val="000000"/>
          <w:spacing w:val="0"/>
          <w:sz w:val="28"/>
          <w:szCs w:val="28"/>
        </w:rPr>
        <w:t>进一步强化重大决策事项意见征集，2021年，市应急局就《泰安市应急物资保障规划（2021-2025年）》（征求意见稿）》、《泰安市防震减灾事业发展第十四个五年规划（征求意见稿）》、《泰安市重大突发事件应急保障体系建设规划（2021-2030年）》等三个规划公开向社会征集意见，并及时发布意见征集结果，进一步保障了人民群众对应急管理工作的参与权。</w:t>
      </w:r>
      <w:r>
        <w:rPr>
          <w:rStyle w:val="5"/>
          <w:rFonts w:hint="eastAsia" w:ascii="仿宋" w:hAnsi="仿宋" w:eastAsia="仿宋" w:cs="仿宋"/>
          <w:i w:val="0"/>
          <w:iCs w:val="0"/>
          <w:caps w:val="0"/>
          <w:color w:val="000000"/>
          <w:spacing w:val="0"/>
          <w:sz w:val="28"/>
          <w:szCs w:val="28"/>
        </w:rPr>
        <w:t>四是</w:t>
      </w:r>
      <w:r>
        <w:rPr>
          <w:rFonts w:hint="eastAsia" w:ascii="仿宋" w:hAnsi="仿宋" w:eastAsia="仿宋" w:cs="仿宋"/>
          <w:i w:val="0"/>
          <w:iCs w:val="0"/>
          <w:caps w:val="0"/>
          <w:color w:val="000000"/>
          <w:spacing w:val="0"/>
          <w:sz w:val="28"/>
          <w:szCs w:val="28"/>
        </w:rPr>
        <w:t>加强建议、提案办理结果公开，2021年，市应急局无主办的人大建议，主办政协提案1件，结合业务工作开展对所提建议进行答复，答复办理情况按照信息公开流程在市应急局网站政务公开专栏公开，提案办理回复率、满意率均为100%。</w:t>
      </w:r>
      <w:r>
        <w:rPr>
          <w:rStyle w:val="5"/>
          <w:rFonts w:hint="eastAsia" w:ascii="仿宋" w:hAnsi="仿宋" w:eastAsia="仿宋" w:cs="仿宋"/>
          <w:i w:val="0"/>
          <w:iCs w:val="0"/>
          <w:caps w:val="0"/>
          <w:color w:val="000000"/>
          <w:spacing w:val="0"/>
          <w:sz w:val="28"/>
          <w:szCs w:val="28"/>
        </w:rPr>
        <w:t> </w:t>
      </w:r>
    </w:p>
    <w:p>
      <w:pPr>
        <w:pStyle w:val="2"/>
        <w:keepNext w:val="0"/>
        <w:keepLines w:val="0"/>
        <w:widowControl/>
        <w:suppressLineNumbers w:val="0"/>
        <w:spacing w:before="0" w:beforeAutospacing="0" w:after="0" w:afterAutospacing="0" w:line="420" w:lineRule="atLeast"/>
        <w:ind w:left="0" w:right="0" w:firstLine="516"/>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0" w:beforeAutospacing="0" w:after="0" w:afterAutospacing="0" w:line="420" w:lineRule="atLeast"/>
        <w:ind w:left="0" w:right="0" w:firstLine="516"/>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w:t>
      </w:r>
    </w:p>
    <w:p>
      <w:pPr>
        <w:pStyle w:val="2"/>
        <w:keepNext w:val="0"/>
        <w:keepLines w:val="0"/>
        <w:widowControl/>
        <w:suppressLineNumbers w:val="0"/>
        <w:spacing w:before="0" w:beforeAutospacing="0" w:after="0" w:afterAutospacing="0" w:line="420" w:lineRule="atLeast"/>
        <w:ind w:left="0" w:right="0" w:firstLine="516"/>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w:t>
      </w:r>
    </w:p>
    <w:p>
      <w:pPr>
        <w:pStyle w:val="2"/>
        <w:keepNext w:val="0"/>
        <w:keepLines w:val="0"/>
        <w:widowControl/>
        <w:suppressLineNumbers w:val="0"/>
        <w:spacing w:before="0" w:beforeAutospacing="0" w:after="0" w:afterAutospacing="0" w:line="420" w:lineRule="atLeast"/>
        <w:ind w:left="0" w:right="0" w:firstLine="384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泰安市应急管理局</w:t>
      </w:r>
    </w:p>
    <w:p>
      <w:pPr>
        <w:pStyle w:val="2"/>
        <w:keepNext w:val="0"/>
        <w:keepLines w:val="0"/>
        <w:widowControl/>
        <w:suppressLineNumbers w:val="0"/>
        <w:spacing w:before="0" w:beforeAutospacing="0" w:after="0" w:afterAutospacing="0" w:line="420" w:lineRule="atLeast"/>
        <w:ind w:left="0" w:right="0" w:firstLine="4092"/>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2022年1月24日</w:t>
      </w:r>
    </w:p>
    <w:p>
      <w:pPr>
        <w:pStyle w:val="2"/>
        <w:keepNext w:val="0"/>
        <w:keepLines w:val="0"/>
        <w:widowControl/>
        <w:suppressLineNumbers w:val="0"/>
        <w:spacing w:before="0" w:beforeAutospacing="0" w:after="0" w:afterAutospacing="0" w:line="420" w:lineRule="atLeast"/>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w:t>
      </w:r>
    </w:p>
    <w:p>
      <w:pPr>
        <w:rPr>
          <w:rFonts w:hint="eastAsia" w:ascii="仿宋" w:hAnsi="仿宋" w:eastAsia="仿宋" w:cs="仿宋"/>
          <w:sz w:val="28"/>
          <w:szCs w:val="28"/>
        </w:rPr>
      </w:pPr>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AD9091-0CCE-4931-B70A-4F4CEAE4F0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embedRegular r:id="rId2" w:fontKey="{1B0EC73E-84E8-4E2D-BFD4-8E3537B1EC98}"/>
  </w:font>
  <w:font w:name="仿宋">
    <w:panose1 w:val="02010609060101010101"/>
    <w:charset w:val="86"/>
    <w:family w:val="auto"/>
    <w:pitch w:val="default"/>
    <w:sig w:usb0="800002BF" w:usb1="38CF7CFA" w:usb2="00000016" w:usb3="00000000" w:csb0="00040001" w:csb1="00000000"/>
    <w:embedRegular r:id="rId3" w:fontKey="{A3232A0A-AD8A-4DEA-AF0C-B3A037E1F713}"/>
  </w:font>
  <w:font w:name="sans-serif">
    <w:altName w:val="Segoe Print"/>
    <w:panose1 w:val="00000000000000000000"/>
    <w:charset w:val="00"/>
    <w:family w:val="auto"/>
    <w:pitch w:val="default"/>
    <w:sig w:usb0="00000000" w:usb1="00000000" w:usb2="00000000" w:usb3="00000000" w:csb0="00000000" w:csb1="00000000"/>
    <w:embedRegular r:id="rId4" w:fontKey="{78307B80-1B99-47E2-810D-CED099FD1408}"/>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NTQ4OTUzZTkxNDY5YmIzODk5ZTE1Y2ExMzI0MDEifQ=="/>
  </w:docVars>
  <w:rsids>
    <w:rsidRoot w:val="40BC4537"/>
    <w:rsid w:val="40BC4537"/>
    <w:rsid w:val="48080BD1"/>
    <w:rsid w:val="6F264A08"/>
    <w:rsid w:val="7B9A0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2810</Words>
  <Characters>2923</Characters>
  <Lines>0</Lines>
  <Paragraphs>0</Paragraphs>
  <TotalTime>5</TotalTime>
  <ScaleCrop>false</ScaleCrop>
  <LinksUpToDate>false</LinksUpToDate>
  <CharactersWithSpaces>2943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2022-07-15T06:37:00Z</dcterms:created>
  <dc:creator>不忘初心</dc:creator>
  <cp:lastModifiedBy>不忘初心</cp:lastModifiedBy>
  <dcterms:modified xsi:type="dcterms:W3CDTF">2023-02-23T06:53:42Z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F32EF3634B2D47359B12A60BE3990253</vt:lpwstr>
  </property>
</Properties>
</file>